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D4" w:rsidRDefault="00A215D4" w:rsidP="00A215D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5D4">
        <w:rPr>
          <w:rFonts w:ascii="Times New Roman" w:hAnsi="Times New Roman" w:cs="Times New Roman"/>
          <w:b/>
          <w:sz w:val="28"/>
          <w:szCs w:val="28"/>
          <w:lang w:val="uk-UA"/>
        </w:rPr>
        <w:t>Лексикологія ФМ31</w:t>
      </w:r>
    </w:p>
    <w:p w:rsidR="00A215D4" w:rsidRDefault="00A215D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215D4">
        <w:rPr>
          <w:rFonts w:ascii="Times New Roman" w:hAnsi="Times New Roman" w:cs="Times New Roman"/>
          <w:sz w:val="28"/>
          <w:szCs w:val="28"/>
          <w:lang w:val="uk-UA"/>
        </w:rPr>
        <w:t>Опрацювати питання</w:t>
      </w:r>
      <w:r w:rsidRPr="00A215D4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A215D4" w:rsidRPr="00A215D4" w:rsidRDefault="00A215D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215D4">
        <w:rPr>
          <w:rFonts w:ascii="Times New Roman" w:hAnsi="Times New Roman" w:cs="Times New Roman"/>
          <w:sz w:val="28"/>
          <w:szCs w:val="28"/>
          <w:lang w:val="fr-FR"/>
        </w:rPr>
        <w:t>Les emprunts au latin , au grec , à l’arabe, aux langues romanes, aux langues germaniques .</w:t>
      </w:r>
    </w:p>
    <w:p w:rsidR="00A215D4" w:rsidRDefault="00A215D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215D4">
        <w:rPr>
          <w:rFonts w:ascii="Times New Roman" w:hAnsi="Times New Roman" w:cs="Times New Roman"/>
          <w:sz w:val="28"/>
          <w:szCs w:val="28"/>
          <w:lang w:val="fr-FR"/>
        </w:rPr>
        <w:t>Les emprunts aux autres langues comme une source extéri</w:t>
      </w:r>
      <w:r>
        <w:rPr>
          <w:rFonts w:ascii="Times New Roman" w:hAnsi="Times New Roman" w:cs="Times New Roman"/>
          <w:sz w:val="28"/>
          <w:szCs w:val="28"/>
          <w:lang w:val="fr-FR"/>
        </w:rPr>
        <w:t>eure d’enrichissement lexical .</w:t>
      </w:r>
    </w:p>
    <w:p w:rsidR="00A215D4" w:rsidRDefault="00A215D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215D4">
        <w:rPr>
          <w:rFonts w:ascii="Times New Roman" w:hAnsi="Times New Roman" w:cs="Times New Roman"/>
          <w:sz w:val="28"/>
          <w:szCs w:val="28"/>
          <w:lang w:val="fr-FR"/>
        </w:rPr>
        <w:t xml:space="preserve">Les doublets étymologiques </w:t>
      </w:r>
    </w:p>
    <w:p w:rsidR="00B23371" w:rsidRDefault="00A215D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215D4">
        <w:rPr>
          <w:rFonts w:ascii="Times New Roman" w:hAnsi="Times New Roman" w:cs="Times New Roman"/>
          <w:sz w:val="28"/>
          <w:szCs w:val="28"/>
          <w:lang w:val="fr-FR"/>
        </w:rPr>
        <w:t>Les internationalismes.</w:t>
      </w:r>
    </w:p>
    <w:p w:rsidR="00CE5029" w:rsidRDefault="00FC057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CE5029" w:rsidRPr="00CE5029">
        <w:rPr>
          <w:lang w:val="fr-FR"/>
        </w:rPr>
        <w:t xml:space="preserve"> </w:t>
      </w:r>
      <w:bookmarkStart w:id="0" w:name="_GoBack"/>
      <w:bookmarkEnd w:id="0"/>
    </w:p>
    <w:p w:rsidR="00A215D4" w:rsidRPr="00FC0577" w:rsidRDefault="00CE502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Picoche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J.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Précis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lexicologie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française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L'étude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l'enseignement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du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vocabulaire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La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lexicologie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Collection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Cursus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Paris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Armand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Colin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Nathan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5029">
        <w:rPr>
          <w:rFonts w:ascii="Times New Roman" w:hAnsi="Times New Roman" w:cs="Times New Roman"/>
          <w:sz w:val="28"/>
          <w:szCs w:val="28"/>
          <w:lang w:val="uk-UA"/>
        </w:rPr>
        <w:t>Université</w:t>
      </w:r>
      <w:proofErr w:type="spellEnd"/>
      <w:r w:rsidRPr="00CE5029">
        <w:rPr>
          <w:rFonts w:ascii="Times New Roman" w:hAnsi="Times New Roman" w:cs="Times New Roman"/>
          <w:sz w:val="28"/>
          <w:szCs w:val="28"/>
          <w:lang w:val="uk-UA"/>
        </w:rPr>
        <w:t>, 2000. 190 p.</w:t>
      </w:r>
    </w:p>
    <w:sectPr w:rsidR="00A215D4" w:rsidRPr="00FC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BF"/>
    <w:rsid w:val="008A1972"/>
    <w:rsid w:val="00A215D4"/>
    <w:rsid w:val="00B23371"/>
    <w:rsid w:val="00CE5029"/>
    <w:rsid w:val="00F234BF"/>
    <w:rsid w:val="00F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>PU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2020-03-12T12:56:00Z</dcterms:created>
  <dcterms:modified xsi:type="dcterms:W3CDTF">2020-03-12T13:08:00Z</dcterms:modified>
</cp:coreProperties>
</file>