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09C">
        <w:rPr>
          <w:rFonts w:ascii="Times New Roman" w:hAnsi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09C">
        <w:rPr>
          <w:rFonts w:ascii="Times New Roman" w:hAnsi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09C">
        <w:rPr>
          <w:rFonts w:ascii="Times New Roman" w:hAnsi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>Факультет іноземних мов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>Кафедра англійської філології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09C">
        <w:rPr>
          <w:rFonts w:ascii="Times New Roman" w:hAnsi="Times New Roman"/>
          <w:b/>
          <w:sz w:val="28"/>
          <w:szCs w:val="28"/>
          <w:lang w:eastAsia="ru-RU"/>
        </w:rPr>
        <w:t>СИЛАБУС НАВЧАЛЬНОЇ ДИСЦИПЛІНИ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48037759"/>
      <w:r>
        <w:rPr>
          <w:rFonts w:ascii="Times New Roman" w:hAnsi="Times New Roman"/>
          <w:b/>
          <w:bCs/>
          <w:sz w:val="28"/>
          <w:szCs w:val="28"/>
          <w:lang w:eastAsia="ru-RU"/>
        </w:rPr>
        <w:t>ПОРІВНЯЛЬНА ФРАЗЕОЛОГІЯ</w:t>
      </w:r>
    </w:p>
    <w:bookmarkEnd w:id="0"/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 Рівень вищої освіти – перший (бакалаврський)</w:t>
      </w: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5609C">
        <w:rPr>
          <w:rFonts w:ascii="Times New Roman" w:hAnsi="Times New Roman"/>
          <w:i/>
          <w:iCs/>
          <w:lang w:eastAsia="ru-RU"/>
        </w:rPr>
        <w:t>(перший (бакалаврський); другий (магістерський); третій (освітньо-науковий))</w:t>
      </w: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 Освітня </w:t>
      </w:r>
      <w:r w:rsidRPr="00D5609C">
        <w:rPr>
          <w:rFonts w:ascii="Times New Roman" w:hAnsi="Times New Roman"/>
          <w:sz w:val="28"/>
          <w:szCs w:val="28"/>
          <w:lang w:val="ru-RU" w:eastAsia="ru-RU"/>
        </w:rPr>
        <w:t>про</w:t>
      </w:r>
      <w:r w:rsidRPr="00D5609C">
        <w:rPr>
          <w:rFonts w:ascii="Times New Roman" w:hAnsi="Times New Roman"/>
          <w:sz w:val="28"/>
          <w:szCs w:val="28"/>
          <w:lang w:eastAsia="ru-RU"/>
        </w:rPr>
        <w:t>грама «Англійська мова і література»</w:t>
      </w: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 Спеціальність 035 Філологія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tabs>
          <w:tab w:val="left" w:leader="underscore" w:pos="655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 Спеціалізація 035.041 Германські мови та літератури  </w:t>
      </w: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D5609C">
        <w:rPr>
          <w:rFonts w:ascii="Times New Roman" w:hAnsi="Times New Roman"/>
          <w:sz w:val="28"/>
          <w:szCs w:val="28"/>
          <w:lang w:val="ru-RU" w:eastAsia="ru-RU"/>
        </w:rPr>
        <w:t>(переклад включно), перша –</w:t>
      </w:r>
      <w:r w:rsidRPr="00D5609C">
        <w:rPr>
          <w:rFonts w:ascii="Times New Roman" w:hAnsi="Times New Roman"/>
          <w:sz w:val="28"/>
          <w:szCs w:val="28"/>
          <w:lang w:eastAsia="ru-RU"/>
        </w:rPr>
        <w:t xml:space="preserve"> англійськ</w:t>
      </w:r>
      <w:r w:rsidRPr="00D5609C">
        <w:rPr>
          <w:rFonts w:ascii="Times New Roman" w:hAnsi="Times New Roman"/>
          <w:sz w:val="28"/>
          <w:szCs w:val="28"/>
          <w:lang w:val="ru-RU" w:eastAsia="ru-RU"/>
        </w:rPr>
        <w:t>а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                          Галузь знань </w:t>
      </w:r>
      <w:r w:rsidRPr="00D5609C">
        <w:rPr>
          <w:rFonts w:ascii="Times New Roman" w:hAnsi="Times New Roman"/>
          <w:sz w:val="28"/>
          <w:szCs w:val="28"/>
          <w:lang w:val="ru-RU" w:eastAsia="ru-RU"/>
        </w:rPr>
        <w:t>03 Гуманітарні науки</w:t>
      </w:r>
      <w:r w:rsidRPr="00D560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>Затверджено на засіданні кафедри</w:t>
      </w:r>
    </w:p>
    <w:p w:rsidR="000D237E" w:rsidRPr="00D5609C" w:rsidRDefault="000D237E" w:rsidP="00D5609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Протокол № 1 від 27 серпня 2020 р.  </w:t>
      </w:r>
    </w:p>
    <w:p w:rsidR="000D237E" w:rsidRPr="00D5609C" w:rsidRDefault="000D237E" w:rsidP="00D5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237E" w:rsidRPr="00D5609C" w:rsidRDefault="000D237E" w:rsidP="00D56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09C">
        <w:rPr>
          <w:rFonts w:ascii="Times New Roman" w:hAnsi="Times New Roman"/>
          <w:sz w:val="28"/>
          <w:szCs w:val="28"/>
          <w:lang w:eastAsia="ru-RU"/>
        </w:rPr>
        <w:t xml:space="preserve">м. Івано-Франківськ – 2020 </w:t>
      </w:r>
    </w:p>
    <w:p w:rsidR="000D237E" w:rsidRDefault="000D237E" w:rsidP="00475C8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654"/>
        <w:gridCol w:w="55"/>
        <w:gridCol w:w="1703"/>
        <w:gridCol w:w="705"/>
        <w:gridCol w:w="568"/>
        <w:gridCol w:w="1895"/>
        <w:gridCol w:w="230"/>
        <w:gridCol w:w="2237"/>
      </w:tblGrid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0D237E" w:rsidRPr="0021424F" w:rsidTr="0021424F"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Порівняльна фразеологія</w:t>
            </w:r>
          </w:p>
        </w:tc>
      </w:tr>
      <w:tr w:rsidR="000D237E" w:rsidRPr="0021424F" w:rsidTr="0021424F">
        <w:trPr>
          <w:trHeight w:val="410"/>
        </w:trPr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Билиця Уляна Ярославівна</w:t>
            </w:r>
          </w:p>
        </w:tc>
      </w:tr>
      <w:tr w:rsidR="000D237E" w:rsidRPr="0021424F" w:rsidTr="0021424F"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+38 0342 596069</w:t>
            </w:r>
          </w:p>
        </w:tc>
      </w:tr>
      <w:tr w:rsidR="000D237E" w:rsidRPr="0021424F" w:rsidTr="0021424F">
        <w:trPr>
          <w:trHeight w:val="713"/>
        </w:trPr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E-mail викладача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tabs>
                <w:tab w:val="left" w:pos="70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142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uliana.bylytsia@pnu.edu.ua</w:t>
              </w:r>
            </w:hyperlink>
          </w:p>
        </w:tc>
      </w:tr>
      <w:tr w:rsidR="000D237E" w:rsidRPr="0021424F" w:rsidTr="0021424F"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Лекційні заняття, семінарські заняття, самостійна робота</w:t>
            </w:r>
          </w:p>
        </w:tc>
      </w:tr>
      <w:tr w:rsidR="000D237E" w:rsidRPr="0021424F" w:rsidTr="0021424F"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3 кредити ЄКТС</w:t>
            </w:r>
          </w:p>
        </w:tc>
      </w:tr>
      <w:tr w:rsidR="000D237E" w:rsidRPr="0021424F" w:rsidTr="0021424F"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www.d-learn.pnu.edu.ua</w:t>
            </w:r>
          </w:p>
        </w:tc>
      </w:tr>
      <w:tr w:rsidR="000D237E" w:rsidRPr="0021424F" w:rsidTr="0021424F">
        <w:tc>
          <w:tcPr>
            <w:tcW w:w="1809" w:type="dxa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8047" w:type="dxa"/>
            <w:gridSpan w:val="8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Вівторок 13.30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2. Анотація до навчальної дисципліни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Предметом вивчення навчальної дисципліни «Порівняльна фразеологія» фразеологічний фонд англійської та української мов. У ході курсу студенти матимуть змогу зрозуміти, що являє собою фразеологія як лінгвістична дисципліна, системно опанувати семантичні та структурно-граматичні характеристики фразеологічних одиниць обох мов, їхні джерела формування, прослідкувати функціонально-стилістичні особливості використання даних фразеологізмів, їхній прагматичний потенціал, усвідомити поняття міжмовної фразеологічної еквівалентності та специфічності, а також дослідити гендерну маркованість фразеологізмів у зіставному аспекті. На лекційних заняттях студенти ознайомляться з основними теоріями дослідження фразеологічних одиниць, тоді як на семінарських заняттях вони матимуть змогу застосувати здобуті теоретичні знання на практиці.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3. Мета та цілі навчальної дисципліни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Метою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навчальної дисципліни є створення у студентів системно-наукового поняття про фразеологічний склад англійської та української мов для набуття та вдосконалення перекладацької компетенції, необхідної для успішної фахової діяльності та проведення наукових досліджень.</w:t>
            </w:r>
          </w:p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Основними цілями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вивчення дисципліни є формування перекладацької компетенції, необхідної для успішної фахової діяльності та проведення наукових досліджень.</w:t>
            </w:r>
          </w:p>
        </w:tc>
      </w:tr>
      <w:tr w:rsidR="000D237E" w:rsidRPr="0021424F" w:rsidTr="0021424F">
        <w:trPr>
          <w:trHeight w:val="128"/>
        </w:trPr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4. Програмні компетентності</w:t>
            </w:r>
          </w:p>
        </w:tc>
      </w:tr>
      <w:tr w:rsidR="000D237E" w:rsidRPr="0021424F" w:rsidTr="0021424F">
        <w:trPr>
          <w:trHeight w:val="127"/>
        </w:trPr>
        <w:tc>
          <w:tcPr>
            <w:tcW w:w="9856" w:type="dxa"/>
            <w:gridSpan w:val="9"/>
          </w:tcPr>
          <w:p w:rsidR="000D237E" w:rsidRPr="0021424F" w:rsidRDefault="000D237E" w:rsidP="0021424F">
            <w:pPr>
              <w:pStyle w:val="1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компетентності: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до критичного мислення й ціннісно-світоглядної реалізації особистості.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учитися впродовж життя й оволодівати сучасними знаннями.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Уміння виявляти, ставити та вирішувати проблеми. 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Здатність діяти із соціальною відповідальністю, розуміти основні принципи буття людини, природи, суспільства. 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команді та автономно. 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аналізувати і критично оцінювати соціальні, культурні, професійні події, явища, ситуації.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цінувати та поважати різноманітності та мультикультурності.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Здатність застосовувати знання у практичних ситуаціях. 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технологій, зокрема для вирішення стандартних завдань професійної діяльності.</w:t>
            </w:r>
          </w:p>
          <w:p w:rsidR="000D237E" w:rsidRPr="0021424F" w:rsidRDefault="000D237E" w:rsidP="0021424F"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37E" w:rsidRPr="0021424F" w:rsidRDefault="000D237E" w:rsidP="0021424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Фахові компетентності: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Усвідомлення структури фразеології та її теоретичних основ.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порівняльної фразеології.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з порівняльної фразеології англійської та української мов.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Володіння знаннями про основні теоретичні положення про фразеологічний склад англійської та української мов.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опанувати проблемний характер основних понять і термінів, які застосовуються в</w:t>
            </w:r>
          </w:p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науці про фразеологічний склад мови; особливості його збагачення та поповнення, які пов’язані із пристосуванням обох мовних систем до глобальних соціально-економічних змін у житті людства; характер семантичної структури фразеологічних одиниць під культур англійського та українського народів.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5. Програмні результати навчання</w:t>
            </w:r>
          </w:p>
        </w:tc>
      </w:tr>
      <w:tr w:rsidR="000D237E" w:rsidRPr="0021424F" w:rsidTr="0021424F">
        <w:trPr>
          <w:trHeight w:val="128"/>
        </w:trPr>
        <w:tc>
          <w:tcPr>
            <w:tcW w:w="9856" w:type="dxa"/>
            <w:gridSpan w:val="9"/>
          </w:tcPr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Організовувати процес свого навчання й самоосвіти.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Співпрацювати з колегами, представниками інших культур та релігій, прибічниками різних політичних поглядів тощо.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Використовувати інформаційні й комунікаційні технології, зокрема для вирішення стандартних завдань професійної діяльності.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Створювати усні й письмові тексти різних жанрів і стилів державною та іноземною мовами.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Аналізувати мовні одиниці, визначати їх взаємодію та характеризувати мовні явища і процеси, що їх зумовлюють.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Використовувати знання з фразеологій англійської та української мов для організації ефективної міжкультурної комунікації.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Застосовувати набуті у процесі вивчення курсу знання для розв’язання професійних завдань. 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Усвідомити зіставні характеристики фразеологій обох мов з погляду їхньої семантики та структури.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Відрізняти фразеологічні одиниці від вільних словосполучень, фразеологічні еквіваленти від фразеологічних калькованих висловів у контексті.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Здатність вживати фразеологізми у відповідних текстах та практично застосовувати основні способи перекладу фразеологізмів.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Планувати і здійснювати дослідження в галузі філології на належному рівні.</w:t>
            </w:r>
          </w:p>
        </w:tc>
      </w:tr>
      <w:tr w:rsidR="000D237E" w:rsidRPr="0021424F" w:rsidTr="0021424F">
        <w:trPr>
          <w:trHeight w:val="127"/>
        </w:trPr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6. Організація навчання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Обсяг навчальної дисципліни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Вид заняття</w:t>
            </w:r>
          </w:p>
        </w:tc>
        <w:tc>
          <w:tcPr>
            <w:tcW w:w="5635" w:type="dxa"/>
            <w:gridSpan w:val="5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Загальна кількість годин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Лекції</w:t>
            </w:r>
          </w:p>
        </w:tc>
        <w:tc>
          <w:tcPr>
            <w:tcW w:w="5635" w:type="dxa"/>
            <w:gridSpan w:val="5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Семінарські</w:t>
            </w:r>
          </w:p>
        </w:tc>
        <w:tc>
          <w:tcPr>
            <w:tcW w:w="5635" w:type="dxa"/>
            <w:gridSpan w:val="5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635" w:type="dxa"/>
            <w:gridSpan w:val="5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Ознаки навчальної дисципліни</w:t>
            </w:r>
          </w:p>
        </w:tc>
      </w:tr>
      <w:tr w:rsidR="000D237E" w:rsidRPr="0021424F" w:rsidTr="0021424F">
        <w:trPr>
          <w:trHeight w:val="310"/>
        </w:trPr>
        <w:tc>
          <w:tcPr>
            <w:tcW w:w="2463" w:type="dxa"/>
            <w:gridSpan w:val="2"/>
            <w:vAlign w:val="center"/>
          </w:tcPr>
          <w:p w:rsidR="000D237E" w:rsidRPr="0021424F" w:rsidRDefault="000D237E" w:rsidP="002142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463" w:type="dxa"/>
            <w:gridSpan w:val="3"/>
            <w:vAlign w:val="center"/>
          </w:tcPr>
          <w:p w:rsidR="000D237E" w:rsidRPr="0021424F" w:rsidRDefault="000D237E" w:rsidP="002142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2463" w:type="dxa"/>
            <w:gridSpan w:val="2"/>
          </w:tcPr>
          <w:p w:rsidR="000D237E" w:rsidRPr="0021424F" w:rsidRDefault="000D237E" w:rsidP="002142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0D237E" w:rsidRPr="0021424F" w:rsidRDefault="000D237E" w:rsidP="002142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(рік навчання)</w:t>
            </w:r>
          </w:p>
        </w:tc>
        <w:tc>
          <w:tcPr>
            <w:tcW w:w="2467" w:type="dxa"/>
            <w:gridSpan w:val="2"/>
          </w:tcPr>
          <w:p w:rsidR="000D237E" w:rsidRPr="0021424F" w:rsidRDefault="000D237E" w:rsidP="002142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Нормативний </w:t>
            </w:r>
            <w:r w:rsidRPr="002142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0D237E" w:rsidRPr="0021424F" w:rsidRDefault="000D237E" w:rsidP="0021424F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вибірковий</w:t>
            </w:r>
          </w:p>
        </w:tc>
      </w:tr>
      <w:tr w:rsidR="000D237E" w:rsidRPr="0021424F" w:rsidTr="0021424F">
        <w:trPr>
          <w:trHeight w:val="310"/>
        </w:trPr>
        <w:tc>
          <w:tcPr>
            <w:tcW w:w="2463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3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035 Філологія </w:t>
            </w:r>
          </w:p>
        </w:tc>
        <w:tc>
          <w:tcPr>
            <w:tcW w:w="2463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Тематика навчальної дисципліни</w:t>
            </w:r>
          </w:p>
        </w:tc>
      </w:tr>
      <w:tr w:rsidR="000D237E" w:rsidRPr="0021424F" w:rsidTr="0021424F">
        <w:trPr>
          <w:trHeight w:val="251"/>
        </w:trPr>
        <w:tc>
          <w:tcPr>
            <w:tcW w:w="4221" w:type="dxa"/>
            <w:gridSpan w:val="4"/>
            <w:vMerge w:val="restart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  <w:gridSpan w:val="5"/>
          </w:tcPr>
          <w:p w:rsidR="000D237E" w:rsidRPr="0021424F" w:rsidRDefault="000D237E" w:rsidP="0021424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0D237E" w:rsidRPr="0021424F" w:rsidTr="0021424F">
        <w:trPr>
          <w:trHeight w:val="250"/>
        </w:trPr>
        <w:tc>
          <w:tcPr>
            <w:tcW w:w="4221" w:type="dxa"/>
            <w:gridSpan w:val="4"/>
            <w:vMerge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2125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заняття</w:t>
            </w:r>
          </w:p>
        </w:tc>
        <w:tc>
          <w:tcPr>
            <w:tcW w:w="2237" w:type="dxa"/>
          </w:tcPr>
          <w:p w:rsidR="000D237E" w:rsidRPr="0021424F" w:rsidRDefault="000D237E" w:rsidP="0021424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сам.робота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Style w:val="SubtleEmphasis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>Фразеологія як лінгвістична дисципліна. Предмет, зміст і завдання фразеології. Класифікації фразеологізмів.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Style w:val="SubtleEmphasis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 xml:space="preserve">Джерела формування фразеологічних одиниць англійської та української мов. 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Style w:val="SubtleEmphasis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>Порівняльний аналіз фразеологічних одиниць англійської та української мов у структурно-граматичному аспекті.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rPr>
                <w:rStyle w:val="SubtleEmphasis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 xml:space="preserve"> Функціонально-стилістична диференціація фразеологічних одиниць.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>Прагматичний потенціал фразеологічних одиниць англійської мови та його реалізація у контексті.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 xml:space="preserve">Національно-культурно марковані фразеологічні одиниці та їх переклад. 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 xml:space="preserve">Етнолінгвістичний аспект вивчення фразеологізмів англійської та української мов. 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 </w:t>
            </w:r>
            <w:r w:rsidRPr="0021424F">
              <w:rPr>
                <w:rFonts w:ascii="Times New Roman" w:hAnsi="Times New Roman"/>
                <w:bCs/>
                <w:sz w:val="24"/>
                <w:szCs w:val="24"/>
              </w:rPr>
              <w:t xml:space="preserve">Гендерна маркованість фразеологічних одиниць англійської та української мов. Гендерні стереотипи. </w:t>
            </w:r>
          </w:p>
        </w:tc>
        <w:tc>
          <w:tcPr>
            <w:tcW w:w="1273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2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vAlign w:val="center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237E" w:rsidRPr="0021424F" w:rsidTr="0021424F">
        <w:tc>
          <w:tcPr>
            <w:tcW w:w="4221" w:type="dxa"/>
            <w:gridSpan w:val="4"/>
          </w:tcPr>
          <w:p w:rsidR="000D237E" w:rsidRPr="0021424F" w:rsidRDefault="000D237E" w:rsidP="0021424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ЗАГ:</w:t>
            </w:r>
          </w:p>
        </w:tc>
        <w:tc>
          <w:tcPr>
            <w:tcW w:w="1273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5" w:type="dxa"/>
            <w:gridSpan w:val="2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7" w:type="dxa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7. Система оцінювання навчальної дисципліни</w:t>
            </w:r>
          </w:p>
        </w:tc>
      </w:tr>
      <w:tr w:rsidR="000D237E" w:rsidRPr="0021424F" w:rsidTr="0021424F">
        <w:tc>
          <w:tcPr>
            <w:tcW w:w="2518" w:type="dxa"/>
            <w:gridSpan w:val="3"/>
          </w:tcPr>
          <w:p w:rsidR="000D237E" w:rsidRPr="0021424F" w:rsidRDefault="000D237E" w:rsidP="0021424F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338" w:type="dxa"/>
            <w:gridSpan w:val="6"/>
          </w:tcPr>
          <w:p w:rsidR="000D237E" w:rsidRPr="0021424F" w:rsidRDefault="000D237E" w:rsidP="0021424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Система оцінювання навчальної дисципліни відбувається згідно з критеріями оцінювання навчальних досягнень студентів, що регламентовані в університеті. </w:t>
            </w:r>
          </w:p>
          <w:p w:rsidR="000D237E" w:rsidRPr="0021424F" w:rsidRDefault="000D237E" w:rsidP="0021424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Загальна максимальна сума балів, яка присвоюється за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курс, становить 100 балів, яка є сумою балів за виконання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практичних завдань, підсумкове тестування, самостійну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роботу (модуль 1) та бали, отримані під час іспиту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(модуль 2). Допуск до іспиту передбачає отримання рейтингової підсумкової оцінки (максимум 50 балів, мінімум 25 балів).</w:t>
            </w:r>
          </w:p>
          <w:p w:rsidR="000D237E" w:rsidRPr="0021424F" w:rsidRDefault="000D237E" w:rsidP="0021424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№2 на консультаціях викладача (перескладання 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>пропущених тем, виконання індивідуальних завдань).</w:t>
            </w:r>
          </w:p>
          <w:p w:rsidR="000D237E" w:rsidRPr="0021424F" w:rsidRDefault="000D237E" w:rsidP="0021424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237E" w:rsidRPr="0021424F" w:rsidRDefault="000D237E" w:rsidP="0021424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0"/>
              <w:tblOverlap w:val="never"/>
              <w:tblW w:w="7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838"/>
              <w:gridCol w:w="1559"/>
              <w:gridCol w:w="1843"/>
              <w:gridCol w:w="1021"/>
              <w:gridCol w:w="900"/>
            </w:tblGrid>
            <w:tr w:rsidR="000D237E" w:rsidRPr="0021424F" w:rsidTr="0021424F">
              <w:trPr>
                <w:trHeight w:val="448"/>
              </w:trPr>
              <w:tc>
                <w:tcPr>
                  <w:tcW w:w="62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Поточне тестування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Залік</w:t>
                  </w:r>
                </w:p>
              </w:tc>
            </w:tr>
            <w:tr w:rsidR="000D237E" w:rsidRPr="0021424F" w:rsidTr="0021424F">
              <w:trPr>
                <w:trHeight w:val="134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Аудиторна робота</w:t>
                  </w:r>
                </w:p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Підсумкове тестування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Всього</w:t>
                  </w: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D237E" w:rsidRPr="0021424F" w:rsidTr="0021424F">
              <w:trPr>
                <w:trHeight w:val="62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Ваговий коефіцієнт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D237E" w:rsidRPr="0021424F" w:rsidTr="0021424F">
              <w:trPr>
                <w:trHeight w:val="531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 кількість балів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D237E" w:rsidRPr="0021424F" w:rsidTr="0021424F">
        <w:tc>
          <w:tcPr>
            <w:tcW w:w="2518" w:type="dxa"/>
            <w:gridSpan w:val="3"/>
          </w:tcPr>
          <w:p w:rsidR="000D237E" w:rsidRPr="0021424F" w:rsidRDefault="000D237E" w:rsidP="0021424F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338" w:type="dxa"/>
            <w:gridSpan w:val="6"/>
          </w:tcPr>
          <w:p w:rsidR="000D237E" w:rsidRPr="0021424F" w:rsidRDefault="000D237E" w:rsidP="0021424F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Передбачене одне письмове підсумкове тестування, яке охоплює 20 завдань, з них кожне оцінюється по одному балу (максимальна кількість балів – 20).</w:t>
            </w:r>
          </w:p>
        </w:tc>
      </w:tr>
      <w:tr w:rsidR="000D237E" w:rsidRPr="0021424F" w:rsidTr="0021424F">
        <w:tc>
          <w:tcPr>
            <w:tcW w:w="2518" w:type="dxa"/>
            <w:gridSpan w:val="3"/>
          </w:tcPr>
          <w:p w:rsidR="000D237E" w:rsidRPr="0021424F" w:rsidRDefault="000D237E" w:rsidP="0021424F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  заняття</w:t>
            </w:r>
          </w:p>
        </w:tc>
        <w:tc>
          <w:tcPr>
            <w:tcW w:w="7338" w:type="dxa"/>
            <w:gridSpan w:val="6"/>
          </w:tcPr>
          <w:p w:rsidR="000D237E" w:rsidRPr="0021424F" w:rsidRDefault="000D237E" w:rsidP="0021424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Оцінюється відвідуваність усіх 5 занять упродовж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семестру за 5-бальною шкалою. Максимальна кількість 30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балів розраховується як середнє арифметичне усіх занять з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ваговим коефіцієнтом 6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0D237E" w:rsidRPr="0021424F" w:rsidTr="0021424F">
        <w:tc>
          <w:tcPr>
            <w:tcW w:w="2518" w:type="dxa"/>
            <w:gridSpan w:val="3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Умови допуску</w:t>
            </w:r>
          </w:p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підсумкового контролю</w:t>
            </w:r>
          </w:p>
        </w:tc>
        <w:tc>
          <w:tcPr>
            <w:tcW w:w="7338" w:type="dxa"/>
            <w:gridSpan w:val="6"/>
          </w:tcPr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При виставленні допуску до іспиту (максимум 50 балів) враховуються навчальні досягнення студентів (бали), набрані на поточному опитуванні під час контактних (аудиторних) годин, при виконанні завдань для самостійної роботи, а також бали підсумкового тестування.</w:t>
            </w:r>
          </w:p>
        </w:tc>
      </w:tr>
      <w:tr w:rsidR="000D237E" w:rsidRPr="0021424F" w:rsidTr="0021424F">
        <w:tc>
          <w:tcPr>
            <w:tcW w:w="2518" w:type="dxa"/>
            <w:gridSpan w:val="3"/>
          </w:tcPr>
          <w:p w:rsidR="000D237E" w:rsidRPr="0021424F" w:rsidRDefault="000D237E" w:rsidP="0021424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контроль</w:t>
            </w:r>
          </w:p>
        </w:tc>
        <w:tc>
          <w:tcPr>
            <w:tcW w:w="7338" w:type="dxa"/>
            <w:gridSpan w:val="6"/>
          </w:tcPr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1424F">
              <w:rPr>
                <w:rFonts w:ascii="Times New Roman" w:hAnsi="Times New Roman"/>
                <w:iCs/>
              </w:rPr>
              <w:t>Форма контролю – залік.</w:t>
            </w:r>
          </w:p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1424F">
              <w:rPr>
                <w:rFonts w:ascii="Times New Roman" w:hAnsi="Times New Roman"/>
                <w:iCs/>
              </w:rPr>
              <w:t xml:space="preserve">Форма здачі – письмова. </w:t>
            </w:r>
          </w:p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1424F">
              <w:rPr>
                <w:rFonts w:ascii="Times New Roman" w:hAnsi="Times New Roman"/>
                <w:iCs/>
              </w:rPr>
              <w:t>Структура білета і розподіл балів за завдання: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553"/>
              <w:gridCol w:w="3554"/>
            </w:tblGrid>
            <w:tr w:rsidR="000D237E" w:rsidRPr="0021424F" w:rsidTr="0021424F"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</w:rPr>
                  </w:pPr>
                  <w:r w:rsidRPr="0021424F">
                    <w:rPr>
                      <w:rFonts w:ascii="Times New Roman" w:hAnsi="Times New Roman"/>
                      <w:b/>
                      <w:iCs/>
                    </w:rPr>
                    <w:t>Завдання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</w:rPr>
                  </w:pPr>
                  <w:r w:rsidRPr="0021424F">
                    <w:rPr>
                      <w:rFonts w:ascii="Times New Roman" w:hAnsi="Times New Roman"/>
                      <w:b/>
                      <w:iCs/>
                    </w:rPr>
                    <w:t>Кількість балів</w:t>
                  </w:r>
                </w:p>
              </w:tc>
            </w:tr>
            <w:tr w:rsidR="000D237E" w:rsidRPr="0021424F" w:rsidTr="0021424F"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7E" w:rsidRPr="0021424F" w:rsidRDefault="000D237E" w:rsidP="0021424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iCs/>
                    </w:rPr>
                    <w:t>1.</w:t>
                  </w: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Назвіть основні джерела виникнення фразеологічних одиниць.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21424F">
                    <w:rPr>
                      <w:rFonts w:ascii="Times New Roman" w:hAnsi="Times New Roman"/>
                      <w:iCs/>
                    </w:rPr>
                    <w:t>5 балів</w:t>
                  </w:r>
                </w:p>
              </w:tc>
            </w:tr>
            <w:tr w:rsidR="000D237E" w:rsidRPr="0021424F" w:rsidTr="0021424F"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7E" w:rsidRPr="0021424F" w:rsidRDefault="000D237E" w:rsidP="0021424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>2. Які існують особливості прагматичного впливу фразеологічних одиниць англійської та української мов?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21424F">
                    <w:rPr>
                      <w:rFonts w:ascii="Times New Roman" w:hAnsi="Times New Roman"/>
                      <w:iCs/>
                    </w:rPr>
                    <w:t>5 балів</w:t>
                  </w:r>
                </w:p>
              </w:tc>
            </w:tr>
            <w:tr w:rsidR="000D237E" w:rsidRPr="0021424F" w:rsidTr="0021424F"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7E" w:rsidRPr="0021424F" w:rsidRDefault="000D237E" w:rsidP="0021424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</w:rPr>
                  </w:pPr>
                  <w:r w:rsidRPr="0021424F">
                    <w:rPr>
                      <w:rFonts w:ascii="Times New Roman" w:hAnsi="Times New Roman"/>
                      <w:sz w:val="24"/>
                      <w:szCs w:val="24"/>
                    </w:rPr>
                    <w:t xml:space="preserve">3. Проаналізуйте </w:t>
                  </w:r>
                  <w:r w:rsidRPr="0021424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структурно-граматичні особливості поданих фразеологічних одиниць.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7E" w:rsidRPr="0021424F" w:rsidRDefault="000D237E" w:rsidP="002142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21424F">
                    <w:rPr>
                      <w:rFonts w:ascii="Times New Roman" w:hAnsi="Times New Roman"/>
                      <w:iCs/>
                    </w:rPr>
                    <w:t>10 балів</w:t>
                  </w:r>
                </w:p>
              </w:tc>
            </w:tr>
          </w:tbl>
          <w:p w:rsidR="000D237E" w:rsidRPr="0021424F" w:rsidRDefault="000D237E" w:rsidP="00214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8. Політика навчальної дисципліни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</w:pPr>
            <w:r w:rsidRPr="0021424F"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  <w:t>Письмові роботи.</w:t>
            </w:r>
          </w:p>
          <w:p w:rsidR="000D237E" w:rsidRPr="0021424F" w:rsidRDefault="000D237E" w:rsidP="0021424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Студент повинен виконати усі письмові роботи, щоб бути допущеним до підсумкового контролю.</w:t>
            </w:r>
          </w:p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</w:pPr>
            <w:r w:rsidRPr="0021424F"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  <w:t>Академічна доброчесність.</w:t>
            </w:r>
          </w:p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Студент повинен дотримуватися Кодексу честі ДВНЗ «Прикарпатський національний університет імені Василя Стефаника», що був затверджений для забезпечення виконання вимог академічної доброчесності. У випадку їх порушення під час виконання завдань поточного, модульного чи підсумкового контролю, студент отримає «0» балів згідно із Положенням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</w:t>
            </w:r>
          </w:p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</w:pPr>
            <w:r w:rsidRPr="0021424F"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  <w:t>Відвідування занять.</w:t>
            </w:r>
          </w:p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Студент має вчасно приходити на заняття. Він може бути не допущений до заняття, у разі спізнення без вагомої на те причини. У випадку пропуску 4 чи більше практичних занять без поважної причини, студент може бути не допущений до підсумкового контролю (заліку), або його/її підсумкова оцінка буде знижена. </w:t>
            </w:r>
            <w:bookmarkStart w:id="1" w:name="_GoBack"/>
            <w:r w:rsidRPr="0021424F">
              <w:rPr>
                <w:rFonts w:ascii="Times New Roman" w:hAnsi="Times New Roman"/>
                <w:sz w:val="24"/>
                <w:szCs w:val="24"/>
              </w:rPr>
              <w:t>Студент зобов’язаний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  <w:bookmarkEnd w:id="1"/>
          </w:p>
          <w:p w:rsidR="000D237E" w:rsidRPr="0021424F" w:rsidRDefault="000D237E" w:rsidP="002142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9. Рекомендована література</w:t>
            </w:r>
          </w:p>
        </w:tc>
      </w:tr>
      <w:tr w:rsidR="000D237E" w:rsidRPr="0021424F" w:rsidTr="0021424F">
        <w:tc>
          <w:tcPr>
            <w:tcW w:w="9856" w:type="dxa"/>
            <w:gridSpan w:val="9"/>
          </w:tcPr>
          <w:p w:rsidR="000D237E" w:rsidRPr="0021424F" w:rsidRDefault="000D237E" w:rsidP="0021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b/>
                <w:sz w:val="24"/>
                <w:szCs w:val="24"/>
              </w:rPr>
              <w:t>Основна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Григоренко Т. В. Етнографічна лексика і фразеологія у складі української літературної мови : монографія. Умань : ПП Жовтий, 2010. 216 с.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Демська-Кульчицька О. М. Фразеологія. Київ : Видавничий дім : «Києво-Могилянська академія», 2008. 74 с.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И</w:t>
            </w:r>
            <w:r w:rsidRPr="00214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зотова А. А. Английская фразеология: аллюзии, идиомы, метафоры : сборник статей. Москва : МАКС Пресс, 2014. 92 с.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Кунин А. В. Курс фразеологии современного английского язика : Учеб. для ин-тов и фак. иностр. яз. 2-е изд. перераб. Москва : Высшая школа, Дубна : Изд. центр «Феникс», 1996. 381 с.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Ужченко В. Д., Ужченко Д. В. Фразеологія сучасної української мови: посібник для студентів філологічних факультетів вищих навчальних закладів. Луганськ : Альма-матер, 2005. 400 с.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>Cowie A. P. Phraseology : theory, analysis and applications. Oxford : Clarendon Press. 1998. 258 p.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>Dabrowska A. A Syntactic Study of Idioms. UK : Cambridge Scholars Publishing, 2018. 355 p.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>Kipfer B. A. Phraseology. Illinois : Sourcebooks, 2008. 265 p.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>Meunier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F.,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Granger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 Phraseology in foreign language learning and teaching. Amsterdam / Philadelphia : John Benjamins Publishing Company, 2008. 273 p.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Skandera 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P.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Phraseology and Culture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in English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1424F">
              <w:rPr>
                <w:rFonts w:ascii="Times New Roman" w:hAnsi="Times New Roman"/>
                <w:sz w:val="24"/>
                <w:szCs w:val="24"/>
                <w:lang w:val="de-DE"/>
              </w:rPr>
              <w:t>Berlin : Mouton de Gruyter. 2007. 524 p.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(Бібліотека ПНУ)</w:t>
            </w:r>
          </w:p>
          <w:p w:rsidR="000D237E" w:rsidRPr="0021424F" w:rsidRDefault="000D237E" w:rsidP="002142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Naciscione 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>. Stylistic use of phraseological units in discourse</w:t>
            </w:r>
            <w:r w:rsidRPr="0021424F">
              <w:rPr>
                <w:rFonts w:ascii="Times New Roman" w:hAnsi="Times New Roman"/>
                <w:sz w:val="24"/>
                <w:szCs w:val="24"/>
                <w:lang w:val="en-US"/>
              </w:rPr>
              <w:t>. Amsterdam : John Benjamins Publishing, 2010. 306 p.</w:t>
            </w:r>
            <w:r w:rsidRPr="0021424F">
              <w:rPr>
                <w:rFonts w:ascii="Times New Roman" w:hAnsi="Times New Roman"/>
                <w:sz w:val="24"/>
                <w:szCs w:val="24"/>
              </w:rPr>
              <w:t xml:space="preserve"> (Бібліотека ПНУ)</w:t>
            </w:r>
          </w:p>
        </w:tc>
      </w:tr>
    </w:tbl>
    <w:p w:rsidR="000D237E" w:rsidRPr="00554CA5" w:rsidRDefault="000D237E" w:rsidP="00475C8C">
      <w:pPr>
        <w:rPr>
          <w:rFonts w:ascii="Times New Roman" w:hAnsi="Times New Roman"/>
          <w:sz w:val="24"/>
          <w:szCs w:val="24"/>
        </w:rPr>
      </w:pPr>
    </w:p>
    <w:p w:rsidR="000D237E" w:rsidRPr="00554CA5" w:rsidRDefault="000D237E" w:rsidP="00475C8C">
      <w:pPr>
        <w:spacing w:after="0"/>
        <w:rPr>
          <w:rFonts w:ascii="Times New Roman" w:hAnsi="Times New Roman"/>
          <w:sz w:val="24"/>
          <w:szCs w:val="24"/>
        </w:rPr>
        <w:sectPr w:rsidR="000D237E" w:rsidRPr="00554CA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D237E" w:rsidRDefault="000D237E" w:rsidP="00F727C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237E" w:rsidRPr="00554CA5" w:rsidRDefault="000D237E" w:rsidP="00F727C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54CA5">
        <w:rPr>
          <w:rFonts w:ascii="Times New Roman" w:hAnsi="Times New Roman"/>
          <w:sz w:val="24"/>
          <w:szCs w:val="24"/>
        </w:rPr>
        <w:t>Викладач:     Билиця У. Я.</w:t>
      </w:r>
    </w:p>
    <w:sectPr w:rsidR="000D237E" w:rsidRPr="00554CA5" w:rsidSect="00201109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84"/>
    <w:multiLevelType w:val="hybridMultilevel"/>
    <w:tmpl w:val="DA92B9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7F87193"/>
    <w:multiLevelType w:val="hybridMultilevel"/>
    <w:tmpl w:val="B1F0F1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55537"/>
    <w:multiLevelType w:val="hybridMultilevel"/>
    <w:tmpl w:val="DD8AA5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250F6"/>
    <w:multiLevelType w:val="hybridMultilevel"/>
    <w:tmpl w:val="4FBEBD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2901D2"/>
    <w:multiLevelType w:val="hybridMultilevel"/>
    <w:tmpl w:val="06E282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D31CF"/>
    <w:multiLevelType w:val="hybridMultilevel"/>
    <w:tmpl w:val="40AA26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FD0F2F"/>
    <w:multiLevelType w:val="hybridMultilevel"/>
    <w:tmpl w:val="665063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B0F8D"/>
    <w:multiLevelType w:val="hybridMultilevel"/>
    <w:tmpl w:val="AC46AB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D75A2"/>
    <w:multiLevelType w:val="hybridMultilevel"/>
    <w:tmpl w:val="192874C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4A1C79"/>
    <w:multiLevelType w:val="hybridMultilevel"/>
    <w:tmpl w:val="F97498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E2480F"/>
    <w:multiLevelType w:val="hybridMultilevel"/>
    <w:tmpl w:val="52340F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214492"/>
    <w:multiLevelType w:val="hybridMultilevel"/>
    <w:tmpl w:val="0D52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D65EB8"/>
    <w:multiLevelType w:val="hybridMultilevel"/>
    <w:tmpl w:val="0D52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B34532"/>
    <w:multiLevelType w:val="hybridMultilevel"/>
    <w:tmpl w:val="C908B0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D706C"/>
    <w:multiLevelType w:val="hybridMultilevel"/>
    <w:tmpl w:val="5AC004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C8C"/>
    <w:rsid w:val="000D237E"/>
    <w:rsid w:val="001207C2"/>
    <w:rsid w:val="00127008"/>
    <w:rsid w:val="00130715"/>
    <w:rsid w:val="001547C7"/>
    <w:rsid w:val="001B4720"/>
    <w:rsid w:val="001F5205"/>
    <w:rsid w:val="00201109"/>
    <w:rsid w:val="0021424F"/>
    <w:rsid w:val="00237E67"/>
    <w:rsid w:val="00276D0B"/>
    <w:rsid w:val="00292B9F"/>
    <w:rsid w:val="002B1A81"/>
    <w:rsid w:val="002B7AE4"/>
    <w:rsid w:val="002E0D1C"/>
    <w:rsid w:val="002E5C91"/>
    <w:rsid w:val="002F5183"/>
    <w:rsid w:val="00475C8C"/>
    <w:rsid w:val="00554CA5"/>
    <w:rsid w:val="005847B7"/>
    <w:rsid w:val="005F68EB"/>
    <w:rsid w:val="007327B3"/>
    <w:rsid w:val="007518E7"/>
    <w:rsid w:val="007D4336"/>
    <w:rsid w:val="00827C9A"/>
    <w:rsid w:val="00843929"/>
    <w:rsid w:val="00883E2E"/>
    <w:rsid w:val="00936198"/>
    <w:rsid w:val="009A2C8F"/>
    <w:rsid w:val="00A670AC"/>
    <w:rsid w:val="00A815D4"/>
    <w:rsid w:val="00A94FA5"/>
    <w:rsid w:val="00AF34AD"/>
    <w:rsid w:val="00AF5C97"/>
    <w:rsid w:val="00C16677"/>
    <w:rsid w:val="00C66F6C"/>
    <w:rsid w:val="00CE52A2"/>
    <w:rsid w:val="00D54683"/>
    <w:rsid w:val="00D5609C"/>
    <w:rsid w:val="00DF0766"/>
    <w:rsid w:val="00E217D4"/>
    <w:rsid w:val="00E351A8"/>
    <w:rsid w:val="00F23AD3"/>
    <w:rsid w:val="00F727C1"/>
    <w:rsid w:val="00F73379"/>
    <w:rsid w:val="00F82F1C"/>
    <w:rsid w:val="00FD213A"/>
    <w:rsid w:val="00FF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5C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475C8C"/>
    <w:pPr>
      <w:spacing w:line="276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475C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5C8C"/>
    <w:pPr>
      <w:ind w:left="720"/>
      <w:contextualSpacing/>
    </w:pPr>
  </w:style>
  <w:style w:type="paragraph" w:customStyle="1" w:styleId="10">
    <w:name w:val="Абзац списка1"/>
    <w:basedOn w:val="Normal"/>
    <w:uiPriority w:val="99"/>
    <w:rsid w:val="00475C8C"/>
    <w:pPr>
      <w:ind w:left="720"/>
    </w:pPr>
    <w:rPr>
      <w:rFonts w:eastAsia="SimSun"/>
      <w:lang w:eastAsia="uk-UA"/>
    </w:rPr>
  </w:style>
  <w:style w:type="character" w:styleId="SubtleEmphasis">
    <w:name w:val="Subtle Emphasis"/>
    <w:basedOn w:val="DefaultParagraphFont"/>
    <w:uiPriority w:val="99"/>
    <w:qFormat/>
    <w:rsid w:val="00475C8C"/>
    <w:rPr>
      <w:i/>
      <w:color w:val="808080"/>
    </w:rPr>
  </w:style>
  <w:style w:type="paragraph" w:customStyle="1" w:styleId="11">
    <w:name w:val="Звичайний1"/>
    <w:uiPriority w:val="99"/>
    <w:rsid w:val="00475C8C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iana.bylytsia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7740</Words>
  <Characters>4413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Asus</dc:creator>
  <cp:keywords/>
  <dc:description/>
  <cp:lastModifiedBy>Yakiv</cp:lastModifiedBy>
  <cp:revision>2</cp:revision>
  <cp:lastPrinted>2020-02-19T07:59:00Z</cp:lastPrinted>
  <dcterms:created xsi:type="dcterms:W3CDTF">2021-03-15T22:31:00Z</dcterms:created>
  <dcterms:modified xsi:type="dcterms:W3CDTF">2021-03-15T22:31:00Z</dcterms:modified>
</cp:coreProperties>
</file>