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Зовнішня політика України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9E4552" w:rsidRPr="009E4552">
        <w:rPr>
          <w:sz w:val="28"/>
          <w:szCs w:val="28"/>
          <w:u w:val="single"/>
          <w:lang w:val="uk-UA"/>
        </w:rPr>
        <w:t>бакалавра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Спеціальність 291 </w:t>
      </w:r>
      <w:r w:rsidR="009E4552" w:rsidRPr="00130444">
        <w:rPr>
          <w:sz w:val="28"/>
          <w:szCs w:val="28"/>
          <w:u w:val="single"/>
          <w:lang w:val="uk-UA"/>
        </w:rPr>
        <w:t>Міжнародні відносини, суспільні комунікації та рег</w:t>
      </w:r>
      <w:r w:rsidR="009E4552">
        <w:rPr>
          <w:sz w:val="28"/>
          <w:szCs w:val="28"/>
          <w:u w:val="single"/>
          <w:lang w:val="uk-UA"/>
        </w:rPr>
        <w:t xml:space="preserve">іональні </w:t>
      </w:r>
      <w:r w:rsidR="009E4552" w:rsidRPr="00130444">
        <w:rPr>
          <w:sz w:val="28"/>
          <w:szCs w:val="28"/>
          <w:u w:val="single"/>
          <w:lang w:val="uk-UA"/>
        </w:rPr>
        <w:t>студії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457E8C">
        <w:rPr>
          <w:sz w:val="28"/>
          <w:szCs w:val="28"/>
          <w:u w:val="single"/>
          <w:lang w:val="uk-UA"/>
        </w:rPr>
        <w:t>29</w:t>
      </w:r>
      <w:r w:rsidR="009E4552" w:rsidRPr="00130444">
        <w:rPr>
          <w:sz w:val="28"/>
          <w:szCs w:val="28"/>
          <w:u w:val="single"/>
          <w:lang w:val="uk-UA"/>
        </w:rPr>
        <w:t xml:space="preserve"> </w:t>
      </w:r>
      <w:r w:rsidR="009E4552">
        <w:rPr>
          <w:sz w:val="28"/>
          <w:szCs w:val="28"/>
          <w:u w:val="single"/>
          <w:lang w:val="uk-UA"/>
        </w:rPr>
        <w:t>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A7F98">
        <w:rPr>
          <w:sz w:val="28"/>
          <w:szCs w:val="28"/>
          <w:lang w:val="uk-UA"/>
        </w:rPr>
        <w:t xml:space="preserve">  від </w:t>
      </w:r>
      <w:r w:rsidR="003A7F98" w:rsidRPr="00820F08">
        <w:rPr>
          <w:sz w:val="28"/>
          <w:szCs w:val="28"/>
        </w:rPr>
        <w:t>“</w:t>
      </w:r>
      <w:r w:rsidR="003A7F98">
        <w:rPr>
          <w:sz w:val="28"/>
          <w:szCs w:val="28"/>
          <w:lang w:val="uk-UA"/>
        </w:rPr>
        <w:t>_</w:t>
      </w:r>
      <w:r w:rsidR="003A7F98" w:rsidRPr="00820F08">
        <w:rPr>
          <w:sz w:val="28"/>
          <w:szCs w:val="28"/>
        </w:rPr>
        <w:t>”</w:t>
      </w:r>
      <w:r w:rsidR="003A7F98">
        <w:rPr>
          <w:sz w:val="28"/>
          <w:szCs w:val="28"/>
          <w:lang w:val="uk-UA"/>
        </w:rPr>
        <w:t xml:space="preserve"> ___ 2020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A7F98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151BC4" w:rsidRDefault="003A7F98" w:rsidP="003A7F98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A7F98" w:rsidRPr="00151BC4" w:rsidRDefault="003A7F98" w:rsidP="003A7F98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A7F98" w:rsidRPr="0084333C" w:rsidRDefault="003A7F98" w:rsidP="003A7F98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A7F98" w:rsidRPr="0084333C" w:rsidRDefault="003A7F98" w:rsidP="003A7F98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A7F98" w:rsidRPr="00151BC4" w:rsidRDefault="003A7F98" w:rsidP="003A7F98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A7F98" w:rsidRPr="00151BC4" w:rsidRDefault="003A7F98" w:rsidP="003A7F98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A7F98" w:rsidRPr="00151BC4" w:rsidRDefault="003A7F98" w:rsidP="003A7F98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A7F98" w:rsidRPr="00193CEB" w:rsidRDefault="003A7F98" w:rsidP="003A7F98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A7F98" w:rsidRPr="00193CEB" w:rsidRDefault="003A7F98" w:rsidP="003A7F98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C67355" w:rsidTr="00CF21A0">
        <w:tc>
          <w:tcPr>
            <w:tcW w:w="9779" w:type="dxa"/>
            <w:gridSpan w:val="10"/>
          </w:tcPr>
          <w:p w:rsidR="00C67355" w:rsidRPr="004D3742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4D3742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4D3742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4D3742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4D3742" w:rsidRDefault="0095118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Зовнішня політика України</w:t>
            </w:r>
          </w:p>
        </w:tc>
      </w:tr>
      <w:tr w:rsidR="00071F79" w:rsidRPr="00C67355" w:rsidTr="00CF21A0">
        <w:tc>
          <w:tcPr>
            <w:tcW w:w="4755" w:type="dxa"/>
            <w:gridSpan w:val="4"/>
          </w:tcPr>
          <w:p w:rsidR="00071F79" w:rsidRPr="004D3742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4D3742" w:rsidRDefault="00F10F4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4D3742" w:rsidRDefault="003A7F98" w:rsidP="00EE1819">
            <w:pPr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5024" w:type="dxa"/>
            <w:gridSpan w:val="6"/>
          </w:tcPr>
          <w:p w:rsidR="002C2330" w:rsidRPr="004D3742" w:rsidRDefault="00951186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D3742">
              <w:rPr>
                <w:sz w:val="24"/>
                <w:szCs w:val="24"/>
                <w:lang w:val="uk-UA"/>
              </w:rPr>
              <w:t>Гурак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 Ігор Федорович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4D374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4D3742" w:rsidRDefault="009E455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(+380342) 75 20 27</w:t>
            </w:r>
          </w:p>
        </w:tc>
      </w:tr>
      <w:tr w:rsidR="002C2330" w:rsidRPr="00457E8C" w:rsidTr="00CF21A0">
        <w:tc>
          <w:tcPr>
            <w:tcW w:w="4755" w:type="dxa"/>
            <w:gridSpan w:val="4"/>
          </w:tcPr>
          <w:p w:rsidR="002C2330" w:rsidRPr="004D374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4D3742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4D3742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2C2330" w:rsidRPr="004D3742" w:rsidRDefault="0095118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pl-PL"/>
              </w:rPr>
              <w:t>ihor</w:t>
            </w:r>
            <w:r w:rsidRPr="004D3742">
              <w:rPr>
                <w:sz w:val="24"/>
                <w:szCs w:val="24"/>
                <w:lang w:val="uk-UA"/>
              </w:rPr>
              <w:t>.</w:t>
            </w:r>
            <w:r w:rsidRPr="004D3742">
              <w:rPr>
                <w:sz w:val="24"/>
                <w:szCs w:val="24"/>
                <w:lang w:val="pl-PL"/>
              </w:rPr>
              <w:t>hurak</w:t>
            </w:r>
            <w:r w:rsidRPr="004D3742">
              <w:rPr>
                <w:sz w:val="24"/>
                <w:szCs w:val="24"/>
                <w:lang w:val="uk-UA"/>
              </w:rPr>
              <w:t>@</w:t>
            </w:r>
            <w:r w:rsidRPr="004D3742">
              <w:rPr>
                <w:sz w:val="24"/>
                <w:szCs w:val="24"/>
                <w:lang w:val="pl-PL"/>
              </w:rPr>
              <w:t>p</w:t>
            </w:r>
            <w:r w:rsidR="003A7F98" w:rsidRPr="004D3742">
              <w:rPr>
                <w:sz w:val="24"/>
                <w:szCs w:val="24"/>
                <w:lang w:val="en-US"/>
              </w:rPr>
              <w:t>n</w:t>
            </w:r>
            <w:r w:rsidRPr="004D3742">
              <w:rPr>
                <w:sz w:val="24"/>
                <w:szCs w:val="24"/>
                <w:lang w:val="pl-PL"/>
              </w:rPr>
              <w:t>u</w:t>
            </w:r>
            <w:r w:rsidRPr="004D3742">
              <w:rPr>
                <w:sz w:val="24"/>
                <w:szCs w:val="24"/>
                <w:lang w:val="uk-UA"/>
              </w:rPr>
              <w:t>.</w:t>
            </w:r>
            <w:proofErr w:type="spellStart"/>
            <w:r w:rsidR="003A7F98" w:rsidRPr="004D3742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>.</w:t>
            </w:r>
            <w:r w:rsidRPr="004D3742">
              <w:rPr>
                <w:sz w:val="24"/>
                <w:szCs w:val="24"/>
                <w:lang w:val="pl-PL"/>
              </w:rPr>
              <w:t>ua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4D3742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4D3742" w:rsidRDefault="009E455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 xml:space="preserve">Очна 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4D3742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4D3742" w:rsidRDefault="009E455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3 кредити</w:t>
            </w:r>
          </w:p>
        </w:tc>
      </w:tr>
      <w:tr w:rsidR="00BD6FFD" w:rsidRPr="00457E8C" w:rsidTr="00CF21A0">
        <w:tc>
          <w:tcPr>
            <w:tcW w:w="4755" w:type="dxa"/>
            <w:gridSpan w:val="4"/>
          </w:tcPr>
          <w:p w:rsidR="00BD6FFD" w:rsidRPr="004D3742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4D3742" w:rsidRDefault="00BD6FFD" w:rsidP="00CB25B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http://www.d-learn.p</w:t>
            </w:r>
            <w:r w:rsidR="003A7F98" w:rsidRPr="004D3742">
              <w:rPr>
                <w:sz w:val="24"/>
                <w:szCs w:val="24"/>
                <w:lang w:val="en-US"/>
              </w:rPr>
              <w:t>n</w:t>
            </w:r>
            <w:r w:rsidR="003A7F98" w:rsidRPr="004D3742">
              <w:rPr>
                <w:sz w:val="24"/>
                <w:szCs w:val="24"/>
                <w:lang w:val="uk-UA"/>
              </w:rPr>
              <w:t>u.</w:t>
            </w:r>
            <w:proofErr w:type="spellStart"/>
            <w:r w:rsidR="003A7F98" w:rsidRPr="004D3742">
              <w:rPr>
                <w:sz w:val="24"/>
                <w:szCs w:val="24"/>
                <w:lang w:val="en-US"/>
              </w:rPr>
              <w:t>edu</w:t>
            </w:r>
            <w:r w:rsidRPr="004D3742">
              <w:rPr>
                <w:sz w:val="24"/>
                <w:szCs w:val="24"/>
                <w:lang w:val="uk-UA"/>
              </w:rPr>
              <w:t>.ua</w:t>
            </w:r>
            <w:proofErr w:type="spellEnd"/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4D3742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4D3742" w:rsidRDefault="00BD6FFD" w:rsidP="00CB25B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 год. на тиждень (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>. 105)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4D3742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2. Анотація</w:t>
            </w:r>
            <w:r w:rsidRPr="004D3742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BD6FFD" w:rsidRPr="00457E8C" w:rsidTr="00CF21A0">
        <w:tc>
          <w:tcPr>
            <w:tcW w:w="9779" w:type="dxa"/>
            <w:gridSpan w:val="10"/>
          </w:tcPr>
          <w:p w:rsidR="00BD6FFD" w:rsidRPr="004D3742" w:rsidRDefault="00326DD5" w:rsidP="00CF21A0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Навчальна дисципліна “Зовнішня політика України”</w:t>
            </w:r>
            <w:r w:rsidRPr="004D3742">
              <w:rPr>
                <w:sz w:val="24"/>
                <w:szCs w:val="24"/>
              </w:rPr>
              <w:t xml:space="preserve"> </w:t>
            </w:r>
            <w:r w:rsidRPr="004D3742">
              <w:rPr>
                <w:sz w:val="24"/>
                <w:szCs w:val="24"/>
                <w:lang w:val="uk-UA"/>
              </w:rPr>
              <w:t>є однією із ключових дисциплін в рамках підготовки фахівців за спеціальністю “Міжнародні відносини, суспільні комунікації та регіональні студії”. Це обов’язкова дисципліна</w:t>
            </w:r>
            <w:r w:rsidR="00CF21A0" w:rsidRPr="004D3742">
              <w:rPr>
                <w:sz w:val="24"/>
                <w:szCs w:val="24"/>
                <w:lang w:val="uk-UA"/>
              </w:rPr>
              <w:t>,</w:t>
            </w:r>
            <w:r w:rsidRPr="004D3742">
              <w:rPr>
                <w:sz w:val="24"/>
                <w:szCs w:val="24"/>
                <w:lang w:val="uk-UA"/>
              </w:rPr>
              <w:t xml:space="preserve"> </w:t>
            </w:r>
            <w:r w:rsidR="00CF21A0" w:rsidRPr="004D3742">
              <w:rPr>
                <w:sz w:val="24"/>
                <w:szCs w:val="24"/>
                <w:lang w:val="uk-UA"/>
              </w:rPr>
              <w:t>щ</w:t>
            </w:r>
            <w:r w:rsidRPr="004D3742">
              <w:rPr>
                <w:sz w:val="24"/>
                <w:szCs w:val="24"/>
                <w:lang w:val="uk-UA"/>
              </w:rPr>
              <w:t>о входить до циклу професійної підготовки</w:t>
            </w:r>
            <w:r w:rsidR="00CF21A0" w:rsidRPr="004D3742">
              <w:rPr>
                <w:sz w:val="24"/>
                <w:szCs w:val="24"/>
                <w:lang w:val="uk-UA"/>
              </w:rPr>
              <w:t xml:space="preserve"> студента</w:t>
            </w:r>
            <w:r w:rsidRPr="004D3742">
              <w:rPr>
                <w:sz w:val="24"/>
                <w:szCs w:val="24"/>
                <w:lang w:val="uk-UA"/>
              </w:rPr>
              <w:t xml:space="preserve">. “Зовнішня політика України” </w:t>
            </w:r>
            <w:r w:rsidR="00CF21A0" w:rsidRPr="004D3742">
              <w:rPr>
                <w:sz w:val="24"/>
                <w:szCs w:val="24"/>
                <w:lang w:val="uk-UA"/>
              </w:rPr>
              <w:t xml:space="preserve">тією чи іншою мірою базується на дисциплінах “Історії України”, “Вступ до спеціальності (міжнародні відносини)”, “Історії міжнародних відносин”, “Основи наукових досліджень”, “Міжнародні відносини та світова політика”, “Теорія міжнародних </w:t>
            </w:r>
            <w:proofErr w:type="spellStart"/>
            <w:r w:rsidR="00CF21A0" w:rsidRPr="004D3742">
              <w:rPr>
                <w:sz w:val="24"/>
                <w:szCs w:val="24"/>
                <w:lang w:val="uk-UA"/>
              </w:rPr>
              <w:t>віносин</w:t>
            </w:r>
            <w:proofErr w:type="spellEnd"/>
            <w:r w:rsidR="00CF21A0" w:rsidRPr="004D3742">
              <w:rPr>
                <w:sz w:val="24"/>
                <w:szCs w:val="24"/>
                <w:lang w:val="uk-UA"/>
              </w:rPr>
              <w:t>”</w:t>
            </w:r>
            <w:r w:rsidRPr="004D3742">
              <w:rPr>
                <w:sz w:val="24"/>
                <w:szCs w:val="24"/>
                <w:lang w:val="uk-UA"/>
              </w:rPr>
              <w:t>. В свою чергу</w:t>
            </w:r>
            <w:r w:rsidR="00CF21A0" w:rsidRPr="004D3742">
              <w:rPr>
                <w:sz w:val="24"/>
                <w:szCs w:val="24"/>
                <w:lang w:val="uk-UA"/>
              </w:rPr>
              <w:t>,</w:t>
            </w:r>
            <w:r w:rsidRPr="004D3742">
              <w:rPr>
                <w:sz w:val="24"/>
                <w:szCs w:val="24"/>
                <w:lang w:val="uk-UA"/>
              </w:rPr>
              <w:t xml:space="preserve"> вона тісно пов’язана та становить</w:t>
            </w:r>
            <w:r w:rsidR="00CF21A0" w:rsidRPr="004D3742">
              <w:rPr>
                <w:sz w:val="24"/>
                <w:szCs w:val="24"/>
                <w:lang w:val="uk-UA"/>
              </w:rPr>
              <w:t xml:space="preserve"> основу для таких дисциплін як “Зовнішня політика країн СНД”, “Міжнародні конфлікти”, “Основи та сучасні тенденції світової політики”,  “</w:t>
            </w:r>
            <w:r w:rsidRPr="004D3742">
              <w:rPr>
                <w:sz w:val="24"/>
                <w:szCs w:val="24"/>
                <w:lang w:val="uk-UA"/>
              </w:rPr>
              <w:t>Актуальні проблеми зовнішньої політики України та міжнародних відносин</w:t>
            </w:r>
            <w:r w:rsidR="00CF21A0" w:rsidRPr="004D3742">
              <w:rPr>
                <w:sz w:val="24"/>
                <w:szCs w:val="24"/>
                <w:lang w:val="uk-UA"/>
              </w:rPr>
              <w:t>”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4D3742" w:rsidRDefault="00BD6FFD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4D3742">
              <w:rPr>
                <w:b/>
                <w:sz w:val="24"/>
                <w:szCs w:val="24"/>
              </w:rPr>
              <w:t xml:space="preserve">Мета </w:t>
            </w:r>
            <w:r w:rsidRPr="004D3742"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4D3742">
              <w:rPr>
                <w:b/>
                <w:sz w:val="24"/>
                <w:szCs w:val="24"/>
              </w:rPr>
              <w:t>курсу</w:t>
            </w:r>
            <w:r w:rsidRPr="004D3742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4D3742" w:rsidRDefault="00BD6FFD" w:rsidP="00D31594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 xml:space="preserve">Вивчення </w:t>
            </w:r>
            <w:r w:rsidR="00D31594" w:rsidRPr="004D3742">
              <w:rPr>
                <w:sz w:val="24"/>
                <w:szCs w:val="24"/>
                <w:lang w:val="uk-UA"/>
              </w:rPr>
              <w:t xml:space="preserve">процесу </w:t>
            </w:r>
            <w:r w:rsidRPr="004D3742">
              <w:rPr>
                <w:sz w:val="24"/>
                <w:szCs w:val="24"/>
                <w:lang w:val="uk-UA"/>
              </w:rPr>
              <w:t xml:space="preserve">становлення та еволюції зовнішньої політики України </w:t>
            </w:r>
            <w:r w:rsidR="00D31594" w:rsidRPr="004D3742">
              <w:rPr>
                <w:sz w:val="24"/>
                <w:szCs w:val="24"/>
                <w:lang w:val="uk-UA"/>
              </w:rPr>
              <w:t>від початків української державності до наших днів; аналіз концептуальних засад сучасної української зовнішньої політики, визначення місця України у сучасних міжнародних відносинах; висвітлення основних напрямків зовнішньополітичної активності української держави, ключових викликів та загроз, з якими стикається Україна в процесі реалізації національних інтересів на міжнародній арені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4D3742" w:rsidRDefault="00BD6FFD" w:rsidP="003A7F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 xml:space="preserve">4. </w:t>
            </w:r>
            <w:r w:rsidR="003A7F98" w:rsidRPr="004D3742">
              <w:rPr>
                <w:b/>
                <w:sz w:val="24"/>
                <w:szCs w:val="24"/>
                <w:lang w:val="uk-UA"/>
              </w:rPr>
              <w:t>Компетентності</w:t>
            </w:r>
          </w:p>
        </w:tc>
      </w:tr>
      <w:tr w:rsidR="00BD6FFD" w:rsidRPr="00277A56" w:rsidTr="00CF21A0">
        <w:tc>
          <w:tcPr>
            <w:tcW w:w="9779" w:type="dxa"/>
            <w:gridSpan w:val="10"/>
          </w:tcPr>
          <w:p w:rsidR="00277A56" w:rsidRPr="004D3742" w:rsidRDefault="00277A56" w:rsidP="00395013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>Усвідомлення національних інтересів України на міжнародній арені.</w:t>
            </w:r>
          </w:p>
          <w:p w:rsidR="00277A56" w:rsidRPr="004D3742" w:rsidRDefault="00277A56" w:rsidP="00395013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>Здатність аналізувати міжнародні інтеграційні процеси у світі</w:t>
            </w:r>
            <w:r w:rsidR="00457E8C">
              <w:rPr>
                <w:noProof/>
                <w:color w:val="000000" w:themeColor="text1"/>
                <w:sz w:val="24"/>
                <w:szCs w:val="24"/>
                <w:lang w:val="uk-UA"/>
              </w:rPr>
              <w:t>, на Є</w:t>
            </w:r>
            <w:r w:rsidR="007B3D67"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>вропейському контененті</w:t>
            </w:r>
            <w:r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 xml:space="preserve"> та місце в них України.</w:t>
            </w:r>
          </w:p>
          <w:p w:rsidR="00BD6FFD" w:rsidRPr="004D3742" w:rsidRDefault="00277A56" w:rsidP="00395013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>Здатність аналізувати міжнарод</w:t>
            </w:r>
            <w:r w:rsidR="007B3D67"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>ні процеси у рі</w:t>
            </w:r>
            <w:r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>зних контекстах, зокрема політичному, безпековому, правовому, економічному, суспільному</w:t>
            </w:r>
            <w:r w:rsidR="00E62857">
              <w:rPr>
                <w:noProof/>
                <w:color w:val="000000" w:themeColor="text1"/>
                <w:sz w:val="24"/>
                <w:szCs w:val="24"/>
                <w:lang w:val="uk-UA"/>
              </w:rPr>
              <w:t>, культурному та інформаційному</w:t>
            </w:r>
          </w:p>
        </w:tc>
      </w:tr>
      <w:tr w:rsidR="003A7F98" w:rsidRPr="00C67355" w:rsidTr="00CF21A0">
        <w:tc>
          <w:tcPr>
            <w:tcW w:w="9779" w:type="dxa"/>
            <w:gridSpan w:val="10"/>
          </w:tcPr>
          <w:p w:rsidR="003A7F98" w:rsidRPr="004D3742" w:rsidRDefault="003A7F98" w:rsidP="003A7F98">
            <w:pPr>
              <w:jc w:val="center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5. Результати навчання</w:t>
            </w:r>
          </w:p>
        </w:tc>
      </w:tr>
      <w:tr w:rsidR="003A7F98" w:rsidRPr="00457E8C" w:rsidTr="00CF21A0">
        <w:tc>
          <w:tcPr>
            <w:tcW w:w="9779" w:type="dxa"/>
            <w:gridSpan w:val="10"/>
          </w:tcPr>
          <w:p w:rsidR="003A7F98" w:rsidRPr="004D3742" w:rsidRDefault="00277A56" w:rsidP="00395013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>Збирати, обробляти та аналізувати великі обсяги інформації про стан міжнародніх відносин</w:t>
            </w:r>
            <w:r w:rsidR="00457E8C">
              <w:rPr>
                <w:noProof/>
                <w:color w:val="000000" w:themeColor="text1"/>
                <w:sz w:val="24"/>
                <w:szCs w:val="24"/>
                <w:lang w:val="uk-UA"/>
              </w:rPr>
              <w:t>,</w:t>
            </w:r>
            <w:bookmarkStart w:id="0" w:name="_GoBack"/>
            <w:bookmarkEnd w:id="0"/>
            <w:r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 xml:space="preserve"> зовніщньої політики України та інших держав, регіональних систем, міжнародних комунікацій.</w:t>
            </w:r>
          </w:p>
          <w:p w:rsidR="00277A56" w:rsidRPr="004D3742" w:rsidRDefault="007B3D67" w:rsidP="00395013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>Здійснювати прикладний аналіз міжнародних відносин, зовніщньої політики України та інших держав, міжнародних процесів та міжнародної ситуації відповідно до поставлених цілей, готувати інформаційні та аналітичні матеріали.</w:t>
            </w:r>
          </w:p>
          <w:p w:rsidR="002A74EA" w:rsidRPr="004D3742" w:rsidRDefault="002A74EA" w:rsidP="002A74EA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4D3742">
              <w:rPr>
                <w:noProof/>
                <w:color w:val="000000" w:themeColor="text1"/>
                <w:sz w:val="24"/>
                <w:szCs w:val="24"/>
                <w:lang w:val="uk-UA"/>
              </w:rPr>
              <w:t>Розуміти та відстоювати національні інтереси У</w:t>
            </w:r>
            <w:r w:rsidR="00E62857">
              <w:rPr>
                <w:noProof/>
                <w:color w:val="000000" w:themeColor="text1"/>
                <w:sz w:val="24"/>
                <w:szCs w:val="24"/>
                <w:lang w:val="uk-UA"/>
              </w:rPr>
              <w:t>країни у міжнародній діяльності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4D3742" w:rsidRDefault="003A7F98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6</w:t>
            </w:r>
            <w:r w:rsidR="00BD6FFD" w:rsidRPr="004D3742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4D3742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Обсяг</w:t>
            </w:r>
            <w:r w:rsidRPr="004D3742">
              <w:rPr>
                <w:sz w:val="24"/>
                <w:szCs w:val="24"/>
              </w:rPr>
              <w:t xml:space="preserve"> курсу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4D3742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4D3742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4D3742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:rsidR="00BD6FFD" w:rsidRPr="004D3742" w:rsidRDefault="00BD6FFD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26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4D3742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4D3742" w:rsidRDefault="00BD6FFD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18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4D3742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4D3742" w:rsidRDefault="00BD6FFD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46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4D3742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BD6FFD" w:rsidRPr="00C67355" w:rsidTr="00CF21A0">
        <w:tc>
          <w:tcPr>
            <w:tcW w:w="4166" w:type="dxa"/>
            <w:gridSpan w:val="2"/>
            <w:vAlign w:val="center"/>
          </w:tcPr>
          <w:p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4D3742" w:rsidRDefault="00BD6FFD" w:rsidP="00CF21A0">
            <w:pPr>
              <w:pStyle w:val="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CF21A0">
        <w:tc>
          <w:tcPr>
            <w:tcW w:w="4166" w:type="dxa"/>
            <w:gridSpan w:val="2"/>
          </w:tcPr>
          <w:p w:rsidR="00BD6FFD" w:rsidRPr="004D3742" w:rsidRDefault="00BD6FFD" w:rsidP="00BD6FF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D3742">
              <w:rPr>
                <w:bCs/>
                <w:sz w:val="24"/>
                <w:szCs w:val="24"/>
                <w:lang w:val="uk-UA"/>
              </w:rPr>
              <w:t>5-й</w:t>
            </w:r>
          </w:p>
        </w:tc>
        <w:tc>
          <w:tcPr>
            <w:tcW w:w="1754" w:type="dxa"/>
            <w:gridSpan w:val="3"/>
          </w:tcPr>
          <w:p w:rsidR="00BD6FFD" w:rsidRPr="004D3742" w:rsidRDefault="00BD6FFD" w:rsidP="00BD6FF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:rsidR="00BD6FFD" w:rsidRPr="004D3742" w:rsidRDefault="00BD6FFD" w:rsidP="00BD6FFD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3-й</w:t>
            </w:r>
          </w:p>
        </w:tc>
        <w:tc>
          <w:tcPr>
            <w:tcW w:w="1895" w:type="dxa"/>
            <w:gridSpan w:val="2"/>
          </w:tcPr>
          <w:p w:rsidR="00BD6FFD" w:rsidRPr="004D3742" w:rsidRDefault="00D31594" w:rsidP="00D31594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Нормативний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4D3742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Тематика</w:t>
            </w:r>
            <w:r w:rsidRPr="004D3742">
              <w:rPr>
                <w:sz w:val="24"/>
                <w:szCs w:val="24"/>
              </w:rPr>
              <w:t xml:space="preserve"> курс</w:t>
            </w:r>
            <w:r w:rsidRPr="004D3742">
              <w:rPr>
                <w:sz w:val="24"/>
                <w:szCs w:val="24"/>
                <w:lang w:val="uk-UA"/>
              </w:rPr>
              <w:t>у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4D3742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4D3742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4D3742"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 w:rsidRPr="004D3742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D6FFD" w:rsidRPr="004D3742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:rsidR="00BD6FFD" w:rsidRPr="004D3742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Завдання, год</w:t>
            </w:r>
            <w:r w:rsidR="00D31594" w:rsidRPr="004D374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BD6FFD" w:rsidRPr="004D3742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4D3742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4D3742" w:rsidRDefault="00CF21A0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4D3742">
              <w:rPr>
                <w:rFonts w:eastAsia="SimSun"/>
                <w:b/>
                <w:sz w:val="24"/>
                <w:szCs w:val="24"/>
                <w:lang w:val="uk-UA"/>
              </w:rPr>
              <w:t>Зовнішня політика Київської Русі</w:t>
            </w:r>
          </w:p>
        </w:tc>
        <w:tc>
          <w:tcPr>
            <w:tcW w:w="1207" w:type="dxa"/>
            <w:gridSpan w:val="2"/>
          </w:tcPr>
          <w:p w:rsidR="00BD6FFD" w:rsidRPr="004D3742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</w:t>
            </w:r>
            <w:r w:rsidR="00D31594" w:rsidRPr="004D3742">
              <w:rPr>
                <w:sz w:val="24"/>
                <w:szCs w:val="24"/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BD6FFD" w:rsidRPr="004D3742" w:rsidRDefault="00D3159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D6FFD" w:rsidRPr="004D3742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D6FFD" w:rsidRPr="004D3742" w:rsidRDefault="00BD6FF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D6FFD" w:rsidRPr="004D3742" w:rsidRDefault="00D3159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4D3742">
              <w:rPr>
                <w:rFonts w:eastAsia="SimSun"/>
                <w:b/>
                <w:sz w:val="24"/>
                <w:szCs w:val="24"/>
                <w:lang w:val="uk-UA"/>
              </w:rPr>
              <w:t xml:space="preserve">Українська дипломатія за часів Галицько-Волинської держави 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CF21A0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4D3742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4D3742">
              <w:rPr>
                <w:rFonts w:eastAsia="SimSun"/>
                <w:b/>
                <w:sz w:val="24"/>
                <w:szCs w:val="24"/>
                <w:lang w:val="uk-UA"/>
              </w:rPr>
              <w:t>Зовнішньополітична активність українського козацтва до Національно-визвольної війни під проводом Богдана Хмельницького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shd w:val="clear" w:color="auto" w:fill="FFFFFF"/>
              <w:adjustRightInd w:val="0"/>
              <w:snapToGrid w:val="0"/>
              <w:jc w:val="center"/>
              <w:rPr>
                <w:rFonts w:eastAsia="SimSun"/>
                <w:b/>
                <w:iCs/>
                <w:sz w:val="24"/>
                <w:szCs w:val="24"/>
                <w:lang w:val="uk-UA"/>
              </w:rPr>
            </w:pPr>
            <w:r w:rsidRPr="004D3742">
              <w:rPr>
                <w:rFonts w:eastAsia="SimSun"/>
                <w:b/>
                <w:iCs/>
                <w:sz w:val="24"/>
                <w:szCs w:val="24"/>
                <w:lang w:val="uk-UA"/>
              </w:rPr>
              <w:t>Українська дипломатія в період Національно-визвольної боротьби під проводом Богдана Хмельницького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CF21A0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4D3742">
              <w:rPr>
                <w:rFonts w:eastAsia="SimSun"/>
                <w:b/>
                <w:sz w:val="24"/>
                <w:szCs w:val="24"/>
                <w:lang w:val="uk-UA"/>
              </w:rPr>
              <w:t>Зовнішньополітичний курс українських гетьманів у період Руїни та на початку XVIII ст.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adjustRightInd w:val="0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“Українське питання” у міжнародних відносинах напередодні та в роки І світової війни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Зовнішня політика української держави періоду УЦР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37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Зовнішня політика у часи національно-визвольних змагань 1917 – 1921 рр.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“</w:t>
            </w:r>
            <w:r w:rsidRPr="004D3742">
              <w:rPr>
                <w:b/>
                <w:sz w:val="24"/>
                <w:szCs w:val="24"/>
                <w:lang w:val="uk-UA"/>
              </w:rPr>
              <w:t>Українське питання</w:t>
            </w:r>
            <w:r w:rsidRPr="004D3742">
              <w:rPr>
                <w:sz w:val="24"/>
                <w:szCs w:val="24"/>
                <w:lang w:val="uk-UA"/>
              </w:rPr>
              <w:t>”</w:t>
            </w:r>
            <w:r w:rsidRPr="004D3742">
              <w:rPr>
                <w:b/>
                <w:sz w:val="24"/>
                <w:szCs w:val="24"/>
                <w:lang w:val="uk-UA"/>
              </w:rPr>
              <w:t xml:space="preserve"> у міжнародних відносинах у міжвоєнний період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adjustRightInd w:val="0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“Українське питання”</w:t>
            </w:r>
            <w:r w:rsidRPr="004D3742">
              <w:rPr>
                <w:sz w:val="24"/>
                <w:szCs w:val="24"/>
                <w:lang w:val="uk-UA"/>
              </w:rPr>
              <w:t xml:space="preserve"> </w:t>
            </w:r>
            <w:r w:rsidRPr="004D3742">
              <w:rPr>
                <w:b/>
                <w:sz w:val="24"/>
                <w:szCs w:val="24"/>
                <w:lang w:val="uk-UA"/>
              </w:rPr>
              <w:t>у світовій політиці у роки ІІ світової війни</w:t>
            </w:r>
          </w:p>
        </w:tc>
        <w:tc>
          <w:tcPr>
            <w:tcW w:w="1207" w:type="dxa"/>
            <w:gridSpan w:val="2"/>
          </w:tcPr>
          <w:p w:rsidR="00CF21A0" w:rsidRPr="004D3742" w:rsidRDefault="003A7F98" w:rsidP="003A7F98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 xml:space="preserve">Семінарське заняття 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3A7F98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shd w:val="clear" w:color="auto" w:fill="FFFFFF"/>
              <w:adjustRightInd w:val="0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 xml:space="preserve">Утворення та концептуальні засади незалежної української держави </w:t>
            </w:r>
          </w:p>
        </w:tc>
        <w:tc>
          <w:tcPr>
            <w:tcW w:w="1207" w:type="dxa"/>
            <w:gridSpan w:val="2"/>
          </w:tcPr>
          <w:p w:rsidR="00CF21A0" w:rsidRPr="004D3742" w:rsidRDefault="003A7F98" w:rsidP="001B516C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lastRenderedPageBreak/>
              <w:t>Відносини ЄС та України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562F61">
            <w:pPr>
              <w:shd w:val="clear" w:color="auto" w:fill="FFFFFF"/>
              <w:tabs>
                <w:tab w:val="left" w:pos="1123"/>
              </w:tabs>
              <w:jc w:val="center"/>
              <w:rPr>
                <w:b/>
                <w:spacing w:val="-1"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Американський напрям зовнішньої політики України</w:t>
            </w: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CF21A0">
            <w:pPr>
              <w:adjustRightInd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rFonts w:eastAsia="Calibri"/>
                <w:b/>
                <w:sz w:val="24"/>
                <w:szCs w:val="24"/>
                <w:lang w:val="uk-UA"/>
              </w:rPr>
              <w:t>Українсько-російські міждержавні відносини</w:t>
            </w:r>
          </w:p>
          <w:p w:rsidR="00CF21A0" w:rsidRPr="004D3742" w:rsidRDefault="00CF21A0" w:rsidP="00CF21A0">
            <w:pPr>
              <w:adjustRightInd w:val="0"/>
              <w:snapToGrid w:val="0"/>
              <w:rPr>
                <w:rFonts w:eastAsia="SimSun"/>
                <w:b/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CF21A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Відносини України з країнами Центрально-Східної Європи</w:t>
            </w:r>
          </w:p>
          <w:p w:rsidR="00CF21A0" w:rsidRPr="004D3742" w:rsidRDefault="00CF21A0" w:rsidP="00CF21A0">
            <w:pPr>
              <w:adjustRightInd w:val="0"/>
              <w:snapToGrid w:val="0"/>
              <w:rPr>
                <w:rFonts w:eastAsia="SimSun"/>
                <w:b/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4D3742" w:rsidRDefault="00CF21A0" w:rsidP="00CF21A0">
            <w:pPr>
              <w:adjustRightInd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Проблеми безпеки, миру та роззброєння у зовнішній політиці України</w:t>
            </w:r>
          </w:p>
          <w:p w:rsidR="00CF21A0" w:rsidRPr="004D3742" w:rsidRDefault="00CF21A0" w:rsidP="00CF21A0">
            <w:pPr>
              <w:adjustRightInd w:val="0"/>
              <w:snapToGrid w:val="0"/>
              <w:rPr>
                <w:rFonts w:eastAsia="SimSun"/>
                <w:b/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F21A0" w:rsidRPr="004D3742" w:rsidRDefault="00CF21A0" w:rsidP="001B516C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9779" w:type="dxa"/>
            <w:gridSpan w:val="10"/>
          </w:tcPr>
          <w:p w:rsidR="00CF21A0" w:rsidRPr="004D3742" w:rsidRDefault="00A65E25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7</w:t>
            </w:r>
            <w:r w:rsidR="00CF21A0" w:rsidRPr="004D3742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CF21A0" w:rsidRPr="00C67355" w:rsidTr="00CF21A0">
        <w:tc>
          <w:tcPr>
            <w:tcW w:w="4576" w:type="dxa"/>
            <w:gridSpan w:val="3"/>
          </w:tcPr>
          <w:p w:rsidR="00CF21A0" w:rsidRPr="004D3742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CF21A0" w:rsidRPr="004D3742" w:rsidRDefault="00B841BB" w:rsidP="00B841BB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Підсумкова оцінка за дисципліну є сумою оцінок за роботу на семінарських заняттях (усні відповіді та письмові роботи (максимально – 15 балів), оцінка за контрольну роботу (максимально – 20 балів)), індивідуальну науково-дослідну роботу (максимально – 10 балів), самостійну роботу (максимально – 5 балів)</w:t>
            </w:r>
            <w:r w:rsidR="00CF21A0" w:rsidRPr="004D3742">
              <w:rPr>
                <w:sz w:val="24"/>
                <w:szCs w:val="24"/>
                <w:lang w:val="uk-UA"/>
              </w:rPr>
              <w:t xml:space="preserve"> </w:t>
            </w:r>
            <w:r w:rsidRPr="004D3742">
              <w:rPr>
                <w:sz w:val="24"/>
                <w:szCs w:val="24"/>
                <w:lang w:val="uk-UA"/>
              </w:rPr>
              <w:t>та</w:t>
            </w:r>
            <w:r w:rsidR="00CF21A0" w:rsidRPr="004D3742">
              <w:rPr>
                <w:sz w:val="24"/>
                <w:szCs w:val="24"/>
                <w:lang w:val="uk-UA"/>
              </w:rPr>
              <w:t xml:space="preserve"> семестровий контроль у формі іспиту</w:t>
            </w:r>
            <w:r w:rsidRPr="004D3742">
              <w:rPr>
                <w:sz w:val="24"/>
                <w:szCs w:val="24"/>
                <w:lang w:val="uk-UA"/>
              </w:rPr>
              <w:t xml:space="preserve"> (максимально – 50 балів)</w:t>
            </w:r>
          </w:p>
        </w:tc>
      </w:tr>
      <w:tr w:rsidR="00CF21A0" w:rsidRPr="00C67355" w:rsidTr="00CF21A0">
        <w:tc>
          <w:tcPr>
            <w:tcW w:w="4576" w:type="dxa"/>
            <w:gridSpan w:val="3"/>
          </w:tcPr>
          <w:p w:rsidR="00CF21A0" w:rsidRPr="004D3742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CF21A0" w:rsidRPr="004D3742" w:rsidRDefault="00CF21A0" w:rsidP="00B7126E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Письмова (екзаменаційна) робота включає в себе 17 питань. Перші два з них передбачають розгорнуті відповіді і оцінюються максимально по 10 балів. Наступні 15 питань носять тестовий характер і оцінюються максимально по 2 бали</w:t>
            </w:r>
          </w:p>
        </w:tc>
      </w:tr>
      <w:tr w:rsidR="00CF21A0" w:rsidRPr="00C67355" w:rsidTr="00CF21A0">
        <w:tc>
          <w:tcPr>
            <w:tcW w:w="4576" w:type="dxa"/>
            <w:gridSpan w:val="3"/>
          </w:tcPr>
          <w:p w:rsidR="00CF21A0" w:rsidRPr="004D3742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:rsidR="00CF21A0" w:rsidRPr="004D3742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CF21A0" w:rsidRPr="00C67355" w:rsidTr="00CF21A0">
        <w:tc>
          <w:tcPr>
            <w:tcW w:w="4576" w:type="dxa"/>
            <w:gridSpan w:val="3"/>
          </w:tcPr>
          <w:p w:rsidR="00CF21A0" w:rsidRPr="004D3742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CF21A0" w:rsidRPr="004D3742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До підсумкового контролю допускаються студенти,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CF21A0" w:rsidRPr="00C67355" w:rsidTr="00CF21A0">
        <w:tc>
          <w:tcPr>
            <w:tcW w:w="9779" w:type="dxa"/>
            <w:gridSpan w:val="10"/>
          </w:tcPr>
          <w:p w:rsidR="00CF21A0" w:rsidRPr="004D3742" w:rsidRDefault="00A65E2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8</w:t>
            </w:r>
            <w:r w:rsidR="00CF21A0" w:rsidRPr="004D3742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CF21A0" w:rsidRPr="00C67355" w:rsidTr="00CF21A0">
        <w:tc>
          <w:tcPr>
            <w:tcW w:w="9779" w:type="dxa"/>
            <w:gridSpan w:val="10"/>
          </w:tcPr>
          <w:p w:rsidR="00CF21A0" w:rsidRPr="004D3742" w:rsidRDefault="00B841BB" w:rsidP="00ED5DC5">
            <w:pPr>
              <w:jc w:val="both"/>
              <w:rPr>
                <w:sz w:val="24"/>
                <w:szCs w:val="24"/>
                <w:lang w:val="uk-UA"/>
              </w:rPr>
            </w:pPr>
            <w:r w:rsidRPr="004D3742">
              <w:rPr>
                <w:sz w:val="24"/>
                <w:szCs w:val="24"/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студент отримав негативну оцінку або ж пропустив аудиторне заняття</w:t>
            </w:r>
            <w:r w:rsidR="00ED5DC5" w:rsidRPr="004D3742">
              <w:rPr>
                <w:sz w:val="24"/>
                <w:szCs w:val="24"/>
                <w:lang w:val="uk-UA"/>
              </w:rPr>
              <w:t>. Додаткову інформацію стосовно навчальної дисципліни студенти можуть отримати під час консультацій як впродовж семестру, так і напередодні іспиту</w:t>
            </w:r>
          </w:p>
        </w:tc>
      </w:tr>
      <w:tr w:rsidR="00CF21A0" w:rsidRPr="00C67355" w:rsidTr="00CF21A0">
        <w:tc>
          <w:tcPr>
            <w:tcW w:w="9779" w:type="dxa"/>
            <w:gridSpan w:val="10"/>
          </w:tcPr>
          <w:p w:rsidR="00CF21A0" w:rsidRPr="004D3742" w:rsidRDefault="00A65E25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D3742">
              <w:rPr>
                <w:b/>
                <w:sz w:val="24"/>
                <w:szCs w:val="24"/>
                <w:lang w:val="uk-UA"/>
              </w:rPr>
              <w:t>9</w:t>
            </w:r>
            <w:r w:rsidR="00CF21A0" w:rsidRPr="004D3742">
              <w:rPr>
                <w:b/>
                <w:sz w:val="24"/>
                <w:szCs w:val="24"/>
                <w:lang w:val="uk-UA"/>
              </w:rPr>
              <w:t>. Рекомендована література</w:t>
            </w:r>
          </w:p>
        </w:tc>
      </w:tr>
      <w:tr w:rsidR="00CF21A0" w:rsidRPr="00457E8C" w:rsidTr="00CF21A0">
        <w:tc>
          <w:tcPr>
            <w:tcW w:w="9779" w:type="dxa"/>
            <w:gridSpan w:val="10"/>
          </w:tcPr>
          <w:p w:rsidR="00562F61" w:rsidRPr="004D3742" w:rsidRDefault="00562F61" w:rsidP="00D31594">
            <w:pPr>
              <w:shd w:val="clear" w:color="auto" w:fill="FFFFFF"/>
              <w:ind w:firstLine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D3742">
              <w:rPr>
                <w:sz w:val="24"/>
                <w:szCs w:val="24"/>
                <w:lang w:val="uk-UA"/>
              </w:rPr>
              <w:lastRenderedPageBreak/>
              <w:t>Головченко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 В., Матвієнко В. Дипломатична історія України: підручник. – Київ: Ніка-Центр, 2018. – 420 с.</w:t>
            </w:r>
          </w:p>
          <w:p w:rsidR="00CF21A0" w:rsidRPr="004D3742" w:rsidRDefault="00CF21A0" w:rsidP="00D31594">
            <w:pPr>
              <w:shd w:val="clear" w:color="auto" w:fill="FFFFFF"/>
              <w:ind w:firstLine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D3742">
              <w:rPr>
                <w:sz w:val="24"/>
                <w:szCs w:val="24"/>
                <w:lang w:val="uk-UA"/>
              </w:rPr>
              <w:t>Дещинський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 Л.Є.,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Панюк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 А.В. Міжнародні відносини України: історія і сучасність: Ч.І.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>. посібник. – Львів: Видавництво “Бескид Біт”, 2002. – 224 с.</w:t>
            </w:r>
          </w:p>
          <w:p w:rsidR="00CF21A0" w:rsidRPr="004D3742" w:rsidRDefault="00CF21A0" w:rsidP="00D31594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4D3742">
              <w:rPr>
                <w:bCs/>
                <w:sz w:val="24"/>
                <w:szCs w:val="24"/>
                <w:lang w:val="uk-UA"/>
              </w:rPr>
              <w:t>Дещинський</w:t>
            </w:r>
            <w:proofErr w:type="spellEnd"/>
            <w:r w:rsidRPr="004D3742">
              <w:rPr>
                <w:bCs/>
                <w:sz w:val="24"/>
                <w:szCs w:val="24"/>
                <w:lang w:val="uk-UA"/>
              </w:rPr>
              <w:t>, Л.Є.</w:t>
            </w:r>
            <w:r w:rsidRPr="004D3742">
              <w:rPr>
                <w:sz w:val="24"/>
                <w:szCs w:val="24"/>
                <w:lang w:val="uk-UA"/>
              </w:rPr>
              <w:t xml:space="preserve"> Міжнародні відносини України: історія і сучасність: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. посібник. – 3-є вид.,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>. 2. – Львів, 2004.</w:t>
            </w:r>
          </w:p>
          <w:p w:rsidR="00CF21A0" w:rsidRPr="004D3742" w:rsidRDefault="00CF21A0" w:rsidP="00D31594">
            <w:pPr>
              <w:shd w:val="clear" w:color="auto" w:fill="FFFFFF"/>
              <w:ind w:firstLine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D3742">
              <w:rPr>
                <w:sz w:val="24"/>
                <w:szCs w:val="24"/>
                <w:lang w:val="uk-UA"/>
              </w:rPr>
              <w:t>Кучик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 О.С.,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Заяць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 О.А. Зовнішня політика України: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посіб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>. – К. : Знання, 2010. – 572 с.</w:t>
            </w:r>
          </w:p>
          <w:p w:rsidR="00CF21A0" w:rsidRPr="004D3742" w:rsidRDefault="00CF21A0" w:rsidP="00D31594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D3742">
              <w:rPr>
                <w:color w:val="000000"/>
                <w:sz w:val="24"/>
                <w:szCs w:val="24"/>
                <w:lang w:val="uk-UA"/>
              </w:rPr>
              <w:t xml:space="preserve">Міжнародні відносини та зовнішня політика (1980 – 2000-ті </w:t>
            </w:r>
            <w:proofErr w:type="spellStart"/>
            <w:r w:rsidRPr="004D3742">
              <w:rPr>
                <w:color w:val="000000"/>
                <w:sz w:val="24"/>
                <w:szCs w:val="24"/>
                <w:lang w:val="uk-UA"/>
              </w:rPr>
              <w:t>pp</w:t>
            </w:r>
            <w:proofErr w:type="spellEnd"/>
            <w:r w:rsidRPr="004D3742">
              <w:rPr>
                <w:color w:val="000000"/>
                <w:sz w:val="24"/>
                <w:szCs w:val="24"/>
                <w:lang w:val="uk-UA"/>
              </w:rPr>
              <w:t xml:space="preserve">.): Підручник / Л. Ф. </w:t>
            </w:r>
            <w:proofErr w:type="spellStart"/>
            <w:r w:rsidRPr="004D3742">
              <w:rPr>
                <w:color w:val="000000"/>
                <w:sz w:val="24"/>
                <w:szCs w:val="24"/>
                <w:lang w:val="uk-UA"/>
              </w:rPr>
              <w:t>Гайдуков</w:t>
            </w:r>
            <w:proofErr w:type="spellEnd"/>
            <w:r w:rsidRPr="004D3742">
              <w:rPr>
                <w:color w:val="000000"/>
                <w:sz w:val="24"/>
                <w:szCs w:val="24"/>
                <w:lang w:val="uk-UA"/>
              </w:rPr>
              <w:t xml:space="preserve">, В. Г. Кремень, Л. В. </w:t>
            </w:r>
            <w:proofErr w:type="spellStart"/>
            <w:r w:rsidRPr="004D3742">
              <w:rPr>
                <w:color w:val="000000"/>
                <w:sz w:val="24"/>
                <w:szCs w:val="24"/>
                <w:lang w:val="uk-UA"/>
              </w:rPr>
              <w:t>Губерський</w:t>
            </w:r>
            <w:proofErr w:type="spellEnd"/>
            <w:r w:rsidRPr="004D3742">
              <w:rPr>
                <w:color w:val="000000"/>
                <w:sz w:val="24"/>
                <w:szCs w:val="24"/>
                <w:lang w:val="uk-UA"/>
              </w:rPr>
              <w:t xml:space="preserve"> та ін. – К.: Либідь, 2001. – 622 с.</w:t>
            </w:r>
          </w:p>
          <w:p w:rsidR="00CF21A0" w:rsidRPr="004D3742" w:rsidRDefault="00CF21A0" w:rsidP="00D31594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D3742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Нариси з історії дипломатії України</w:t>
            </w:r>
            <w:r w:rsidRPr="004D3742">
              <w:rPr>
                <w:rStyle w:val="st"/>
                <w:i/>
                <w:iCs/>
                <w:sz w:val="24"/>
                <w:szCs w:val="24"/>
                <w:lang w:val="uk-UA"/>
              </w:rPr>
              <w:t xml:space="preserve"> /</w:t>
            </w:r>
            <w:r w:rsidRPr="004D3742">
              <w:rPr>
                <w:rStyle w:val="st"/>
                <w:sz w:val="24"/>
                <w:szCs w:val="24"/>
                <w:lang w:val="uk-UA"/>
              </w:rPr>
              <w:t xml:space="preserve"> НАН України. Ін-т історії України; </w:t>
            </w:r>
            <w:proofErr w:type="spellStart"/>
            <w:r w:rsidRPr="004D3742">
              <w:rPr>
                <w:rStyle w:val="st"/>
                <w:sz w:val="24"/>
                <w:szCs w:val="24"/>
                <w:lang w:val="uk-UA"/>
              </w:rPr>
              <w:t>Відп</w:t>
            </w:r>
            <w:proofErr w:type="spellEnd"/>
            <w:r w:rsidRPr="004D3742">
              <w:rPr>
                <w:rStyle w:val="st"/>
                <w:sz w:val="24"/>
                <w:szCs w:val="24"/>
                <w:lang w:val="uk-UA"/>
              </w:rPr>
              <w:t>. ред. В. А. Смолій. – К.: Альтернативи, 2001. – 736 с.</w:t>
            </w:r>
          </w:p>
          <w:p w:rsidR="00CF21A0" w:rsidRPr="004D3742" w:rsidRDefault="00CF21A0" w:rsidP="00D31594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D3742">
              <w:rPr>
                <w:iCs/>
                <w:color w:val="000000"/>
                <w:sz w:val="24"/>
                <w:szCs w:val="24"/>
                <w:lang w:val="uk-UA"/>
              </w:rPr>
              <w:t xml:space="preserve">Овсій І.О. </w:t>
            </w:r>
            <w:r w:rsidRPr="004D3742">
              <w:rPr>
                <w:color w:val="000000"/>
                <w:sz w:val="24"/>
                <w:szCs w:val="24"/>
                <w:lang w:val="uk-UA"/>
              </w:rPr>
              <w:t xml:space="preserve">Зовнішня політика України (від давніх часів до 1944 року): </w:t>
            </w:r>
            <w:proofErr w:type="spellStart"/>
            <w:r w:rsidRPr="004D3742">
              <w:rPr>
                <w:color w:val="000000"/>
                <w:sz w:val="24"/>
                <w:szCs w:val="24"/>
                <w:lang w:val="uk-UA"/>
              </w:rPr>
              <w:t>Навч</w:t>
            </w:r>
            <w:proofErr w:type="spellEnd"/>
            <w:r w:rsidRPr="004D3742">
              <w:rPr>
                <w:color w:val="000000"/>
                <w:sz w:val="24"/>
                <w:szCs w:val="24"/>
                <w:lang w:val="uk-UA"/>
              </w:rPr>
              <w:t>.</w:t>
            </w:r>
            <w:r w:rsidRPr="004D3742">
              <w:rPr>
                <w:sz w:val="24"/>
                <w:szCs w:val="24"/>
                <w:lang w:val="uk-UA"/>
              </w:rPr>
              <w:t xml:space="preserve"> </w:t>
            </w:r>
            <w:r w:rsidRPr="004D3742">
              <w:rPr>
                <w:color w:val="000000"/>
                <w:sz w:val="24"/>
                <w:szCs w:val="24"/>
                <w:lang w:val="uk-UA"/>
              </w:rPr>
              <w:t>посібник. – К.: Либідь, 1999. – 240 с.</w:t>
            </w:r>
          </w:p>
          <w:p w:rsidR="00CF21A0" w:rsidRPr="004D3742" w:rsidRDefault="00CF21A0" w:rsidP="00D31594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D3742">
              <w:rPr>
                <w:bCs/>
                <w:sz w:val="24"/>
                <w:szCs w:val="24"/>
                <w:lang w:val="uk-UA"/>
              </w:rPr>
              <w:t>Чекаленко</w:t>
            </w:r>
            <w:proofErr w:type="spellEnd"/>
            <w:r w:rsidRPr="004D3742">
              <w:rPr>
                <w:bCs/>
                <w:sz w:val="24"/>
                <w:szCs w:val="24"/>
                <w:lang w:val="uk-UA"/>
              </w:rPr>
              <w:t>, Л.Д.</w:t>
            </w:r>
            <w:r w:rsidRPr="004D3742">
              <w:rPr>
                <w:sz w:val="24"/>
                <w:szCs w:val="24"/>
                <w:lang w:val="uk-UA"/>
              </w:rPr>
              <w:t xml:space="preserve"> Зовнішня політика України [Текст]: підручник. – К., 2006. – 712 с.</w:t>
            </w:r>
          </w:p>
          <w:p w:rsidR="00CF21A0" w:rsidRPr="004D3742" w:rsidRDefault="00CF21A0" w:rsidP="00D31594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D3742">
              <w:rPr>
                <w:sz w:val="24"/>
                <w:szCs w:val="24"/>
                <w:lang w:val="uk-UA"/>
              </w:rPr>
              <w:t>Чекаленко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, Л.Д.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Федуняк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 С.Г. Зовнішня політика України (від давніх часів до наших днів):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підруч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студ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вищ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D3742">
              <w:rPr>
                <w:sz w:val="24"/>
                <w:szCs w:val="24"/>
                <w:lang w:val="uk-UA"/>
              </w:rPr>
              <w:t>закл</w:t>
            </w:r>
            <w:proofErr w:type="spellEnd"/>
            <w:r w:rsidRPr="004D3742">
              <w:rPr>
                <w:sz w:val="24"/>
                <w:szCs w:val="24"/>
                <w:lang w:val="uk-UA"/>
              </w:rPr>
              <w:t>. – К. : ДП «Вид. дім «Персонал», 2010. – 464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ED5DC5">
        <w:rPr>
          <w:b/>
          <w:sz w:val="28"/>
          <w:szCs w:val="28"/>
          <w:lang w:val="uk-UA"/>
        </w:rPr>
        <w:t xml:space="preserve">І.Ф. </w:t>
      </w:r>
      <w:proofErr w:type="spellStart"/>
      <w:r w:rsidR="00ED5DC5">
        <w:rPr>
          <w:b/>
          <w:sz w:val="28"/>
          <w:szCs w:val="28"/>
          <w:lang w:val="uk-UA"/>
        </w:rPr>
        <w:t>Гурак</w:t>
      </w:r>
      <w:proofErr w:type="spellEnd"/>
    </w:p>
    <w:sectPr w:rsidR="0039501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71F79"/>
    <w:rsid w:val="00072283"/>
    <w:rsid w:val="000C46E3"/>
    <w:rsid w:val="001039A3"/>
    <w:rsid w:val="00151BC4"/>
    <w:rsid w:val="00193CEB"/>
    <w:rsid w:val="00254871"/>
    <w:rsid w:val="00277A56"/>
    <w:rsid w:val="002A74EA"/>
    <w:rsid w:val="002C2330"/>
    <w:rsid w:val="00326DD5"/>
    <w:rsid w:val="00335A19"/>
    <w:rsid w:val="00341622"/>
    <w:rsid w:val="00373614"/>
    <w:rsid w:val="00395013"/>
    <w:rsid w:val="003A7F98"/>
    <w:rsid w:val="00457E8C"/>
    <w:rsid w:val="00483A45"/>
    <w:rsid w:val="004D3742"/>
    <w:rsid w:val="004F7AFF"/>
    <w:rsid w:val="00562F61"/>
    <w:rsid w:val="00606453"/>
    <w:rsid w:val="00654CF9"/>
    <w:rsid w:val="006A14B2"/>
    <w:rsid w:val="007022C3"/>
    <w:rsid w:val="00784AB3"/>
    <w:rsid w:val="007B3D67"/>
    <w:rsid w:val="0088347C"/>
    <w:rsid w:val="008A1B87"/>
    <w:rsid w:val="009506C9"/>
    <w:rsid w:val="00951186"/>
    <w:rsid w:val="0095499A"/>
    <w:rsid w:val="009A2779"/>
    <w:rsid w:val="009E4552"/>
    <w:rsid w:val="00A65E25"/>
    <w:rsid w:val="00AB324B"/>
    <w:rsid w:val="00AC76DC"/>
    <w:rsid w:val="00B10A22"/>
    <w:rsid w:val="00B7126E"/>
    <w:rsid w:val="00B841BB"/>
    <w:rsid w:val="00B93336"/>
    <w:rsid w:val="00BC32A7"/>
    <w:rsid w:val="00BD6FFD"/>
    <w:rsid w:val="00C67355"/>
    <w:rsid w:val="00C81B4F"/>
    <w:rsid w:val="00CA1BE2"/>
    <w:rsid w:val="00CF21A0"/>
    <w:rsid w:val="00D31594"/>
    <w:rsid w:val="00D33C21"/>
    <w:rsid w:val="00D74B80"/>
    <w:rsid w:val="00E57DA8"/>
    <w:rsid w:val="00E62857"/>
    <w:rsid w:val="00ED5DC5"/>
    <w:rsid w:val="00EE1819"/>
    <w:rsid w:val="00EE4289"/>
    <w:rsid w:val="00F10F42"/>
    <w:rsid w:val="00F71319"/>
    <w:rsid w:val="00F9137E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D69FB-1862-43D9-808B-8B0A6148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5620</Words>
  <Characters>3204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11</cp:revision>
  <cp:lastPrinted>2019-09-27T06:35:00Z</cp:lastPrinted>
  <dcterms:created xsi:type="dcterms:W3CDTF">2019-12-17T23:01:00Z</dcterms:created>
  <dcterms:modified xsi:type="dcterms:W3CDTF">2020-11-16T10:03:00Z</dcterms:modified>
</cp:coreProperties>
</file>