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18BC1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319B2B4A" w14:textId="0B2B444A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28D8929C" w14:textId="6D3D9D36" w:rsidR="000F178B" w:rsidRPr="007A130B" w:rsidRDefault="00884349" w:rsidP="000F17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177D28E7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3796E6EB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3325A205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45C5777A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43855F1C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6E9E7C34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510FB839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 судочинства</w:t>
      </w:r>
    </w:p>
    <w:p w14:paraId="631B3ABF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26A99BA3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53C4856B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353F4578" w14:textId="77777777" w:rsidR="000F178B" w:rsidRPr="007A130B" w:rsidRDefault="000F178B" w:rsidP="000F178B">
      <w:pPr>
        <w:jc w:val="center"/>
        <w:rPr>
          <w:b/>
          <w:sz w:val="28"/>
          <w:szCs w:val="28"/>
          <w:lang w:val="uk-UA"/>
        </w:rPr>
      </w:pPr>
    </w:p>
    <w:p w14:paraId="5758E023" w14:textId="38136DBF" w:rsidR="000F178B" w:rsidRPr="007A130B" w:rsidRDefault="000F178B" w:rsidP="000F178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ПРАВ І СВОБОД ЛЮДИНИ І ГРОМАДЯНИНА В ЄВРОПЕЙСЬКОМУ СУДІ З ПРАВ ЛЮДИНИ</w:t>
      </w:r>
      <w:r w:rsidRPr="007A130B">
        <w:rPr>
          <w:b/>
          <w:sz w:val="28"/>
          <w:szCs w:val="28"/>
          <w:lang w:val="uk-UA"/>
        </w:rPr>
        <w:t xml:space="preserve"> </w:t>
      </w:r>
    </w:p>
    <w:p w14:paraId="079B8CDD" w14:textId="77777777" w:rsidR="000F178B" w:rsidRPr="007A130B" w:rsidRDefault="000F178B" w:rsidP="000F178B">
      <w:pPr>
        <w:jc w:val="center"/>
        <w:rPr>
          <w:b/>
          <w:sz w:val="28"/>
          <w:szCs w:val="28"/>
          <w:u w:val="single"/>
          <w:lang w:val="uk-UA"/>
        </w:rPr>
      </w:pPr>
    </w:p>
    <w:p w14:paraId="7577AE35" w14:textId="485473A8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5462FD">
        <w:rPr>
          <w:sz w:val="28"/>
          <w:szCs w:val="28"/>
          <w:lang w:val="uk-UA"/>
        </w:rPr>
        <w:t>Рівень вищої освіти – перший (бакалаврський</w:t>
      </w:r>
      <w:r w:rsidRPr="00F51EC1">
        <w:rPr>
          <w:sz w:val="28"/>
          <w:szCs w:val="28"/>
          <w:lang w:val="uk-UA"/>
        </w:rPr>
        <w:t>)</w:t>
      </w:r>
    </w:p>
    <w:p w14:paraId="0B6322BD" w14:textId="2F8544C9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="005462FD">
        <w:rPr>
          <w:sz w:val="28"/>
          <w:szCs w:val="28"/>
          <w:lang w:val="uk-UA"/>
        </w:rPr>
        <w:t>грама Міжнародне та європейське право</w:t>
      </w:r>
    </w:p>
    <w:p w14:paraId="75386D52" w14:textId="77777777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10C6D9A1" w14:textId="77777777" w:rsidR="000F178B" w:rsidRPr="00F51EC1" w:rsidRDefault="000F178B" w:rsidP="000F178B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3797AC43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50B857B6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4B09C4FF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50D74958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6E25A595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354E458F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16CF3F51" w14:textId="77777777" w:rsidR="000F178B" w:rsidRPr="007A130B" w:rsidRDefault="000F178B" w:rsidP="000F178B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0E5FC2A7" w14:textId="10409658" w:rsidR="000F178B" w:rsidRPr="007A130B" w:rsidRDefault="00884349" w:rsidP="00884349">
      <w:pPr>
        <w:jc w:val="right"/>
        <w:rPr>
          <w:sz w:val="28"/>
          <w:szCs w:val="28"/>
          <w:lang w:val="uk-UA"/>
        </w:rPr>
      </w:pPr>
      <w:r w:rsidRPr="00884349">
        <w:rPr>
          <w:sz w:val="28"/>
          <w:szCs w:val="28"/>
          <w:lang w:val="uk-UA"/>
        </w:rPr>
        <w:t xml:space="preserve">Протокол № 10 від 30 травня 2022 р.  </w:t>
      </w:r>
    </w:p>
    <w:p w14:paraId="0ABB429C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4CF70827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3C00A3D3" w14:textId="77777777" w:rsidR="000F178B" w:rsidRPr="007A130B" w:rsidRDefault="000F178B" w:rsidP="000F178B">
      <w:pPr>
        <w:jc w:val="both"/>
        <w:rPr>
          <w:sz w:val="28"/>
          <w:szCs w:val="28"/>
          <w:lang w:val="uk-UA"/>
        </w:rPr>
      </w:pPr>
    </w:p>
    <w:p w14:paraId="7F999F74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4387221F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3234D834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30570DAC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16B43D9A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1BAC06AD" w14:textId="77777777" w:rsidR="000F178B" w:rsidRPr="007A130B" w:rsidRDefault="000F178B" w:rsidP="000F178B">
      <w:pPr>
        <w:jc w:val="center"/>
        <w:rPr>
          <w:sz w:val="28"/>
          <w:szCs w:val="28"/>
          <w:lang w:val="uk-UA"/>
        </w:rPr>
      </w:pPr>
    </w:p>
    <w:p w14:paraId="3188EA7F" w14:textId="77777777" w:rsidR="000F178B" w:rsidRDefault="000F178B" w:rsidP="000F178B">
      <w:pPr>
        <w:jc w:val="center"/>
        <w:rPr>
          <w:sz w:val="28"/>
          <w:szCs w:val="28"/>
          <w:lang w:val="uk-UA"/>
        </w:rPr>
      </w:pPr>
    </w:p>
    <w:p w14:paraId="18D46498" w14:textId="77777777" w:rsidR="00884349" w:rsidRPr="007A130B" w:rsidRDefault="00884349" w:rsidP="000F178B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14:paraId="6C98E732" w14:textId="77777777" w:rsidR="000F178B" w:rsidRPr="007A130B" w:rsidRDefault="000F178B" w:rsidP="000F178B">
      <w:pPr>
        <w:rPr>
          <w:sz w:val="28"/>
          <w:szCs w:val="28"/>
          <w:lang w:val="uk-UA"/>
        </w:rPr>
      </w:pPr>
    </w:p>
    <w:p w14:paraId="75ECF377" w14:textId="14275813" w:rsidR="00395013" w:rsidRPr="000F178B" w:rsidRDefault="000F178B" w:rsidP="000F178B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Івано-Франківськ - 2022</w:t>
      </w:r>
    </w:p>
    <w:p w14:paraId="1E451F5B" w14:textId="77777777" w:rsidR="00395013" w:rsidRPr="00B51E11" w:rsidRDefault="00395013" w:rsidP="00395013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B51E1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B51E1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51E1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51E11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51E1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B51E1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B51E11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446A9A8F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48B828A1" w14:textId="77777777" w:rsidR="000F178B" w:rsidRPr="00B51E11" w:rsidRDefault="000F178B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B51E11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121B1" w:rsidRPr="00B51E11" w14:paraId="5F4DFB16" w14:textId="77777777" w:rsidTr="00450F82">
        <w:tc>
          <w:tcPr>
            <w:tcW w:w="2547" w:type="dxa"/>
            <w:gridSpan w:val="3"/>
          </w:tcPr>
          <w:p w14:paraId="69DD3FE1" w14:textId="77777777" w:rsidR="00D121B1" w:rsidRPr="00B51E11" w:rsidRDefault="00D121B1" w:rsidP="00D121B1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14:paraId="67E88BF4" w14:textId="7F34BBAF" w:rsidR="00D121B1" w:rsidRPr="00B51E11" w:rsidRDefault="00B64B13" w:rsidP="00D121B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="00D121B1" w:rsidRPr="00407EF3">
              <w:rPr>
                <w:b/>
                <w:lang w:val="uk-UA"/>
              </w:rPr>
              <w:t>ахист прав і свобод людини і громадянина в ЄСПЛ</w:t>
            </w:r>
          </w:p>
        </w:tc>
      </w:tr>
      <w:tr w:rsidR="002C2330" w:rsidRPr="00B51E11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B51E11" w:rsidRDefault="002C2330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88FB8AC" w:rsidR="001678CE" w:rsidRPr="00B51E11" w:rsidRDefault="00236A99" w:rsidP="007607F9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Башурин Наталія Ярославівна, </w:t>
            </w:r>
            <w:r w:rsidR="000F178B">
              <w:rPr>
                <w:lang w:val="uk-UA"/>
              </w:rPr>
              <w:t xml:space="preserve">доктор філософії за спеціальністю 081 Право, </w:t>
            </w:r>
            <w:r w:rsidRPr="00B51E11">
              <w:rPr>
                <w:lang w:val="uk-UA"/>
              </w:rPr>
              <w:t>асистент кафедри  судочинства</w:t>
            </w:r>
          </w:p>
        </w:tc>
      </w:tr>
      <w:tr w:rsidR="002C2330" w:rsidRPr="00B51E11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B51E11" w:rsidRDefault="00236A99" w:rsidP="00236A99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Башурин Наталія Ярославівна </w:t>
            </w:r>
            <w:r w:rsidRPr="00B51E11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B51E11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</w:rPr>
              <w:t>E-</w:t>
            </w:r>
            <w:proofErr w:type="spellStart"/>
            <w:r w:rsidRPr="00B51E11">
              <w:rPr>
                <w:b/>
              </w:rPr>
              <w:t>mail</w:t>
            </w:r>
            <w:proofErr w:type="spellEnd"/>
            <w:r w:rsidRPr="00B51E11">
              <w:rPr>
                <w:b/>
                <w:lang w:val="en-US"/>
              </w:rPr>
              <w:t xml:space="preserve"> </w:t>
            </w:r>
            <w:proofErr w:type="spellStart"/>
            <w:r w:rsidRPr="00B51E1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6BD34EF" w:rsidR="002C2330" w:rsidRPr="00B51E11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B51E11">
              <w:rPr>
                <w:lang w:val="uk-UA"/>
              </w:rPr>
              <w:t>Башурин</w:t>
            </w:r>
            <w:proofErr w:type="spellEnd"/>
            <w:r w:rsidRPr="00B51E11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B51E11">
              <w:rPr>
                <w:sz w:val="22"/>
                <w:szCs w:val="22"/>
              </w:rPr>
              <w:t>@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B51E11">
              <w:rPr>
                <w:sz w:val="22"/>
                <w:szCs w:val="22"/>
              </w:rPr>
              <w:t>.</w:t>
            </w:r>
            <w:proofErr w:type="spellStart"/>
            <w:r w:rsidR="00100E58" w:rsidRPr="00B51E11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B51E11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EF9216E" w:rsidR="002C2330" w:rsidRPr="00B51E11" w:rsidRDefault="00A04450" w:rsidP="00395013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Зао</w:t>
            </w:r>
            <w:r w:rsidR="00835D68" w:rsidRPr="00B51E11">
              <w:rPr>
                <w:lang w:val="uk-UA"/>
              </w:rPr>
              <w:t>чний</w:t>
            </w:r>
          </w:p>
        </w:tc>
      </w:tr>
      <w:tr w:rsidR="002C2330" w:rsidRPr="00B51E11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B51E11" w:rsidRDefault="007607F9" w:rsidP="00F2163F">
            <w:pPr>
              <w:jc w:val="both"/>
              <w:rPr>
                <w:lang w:val="uk-UA"/>
              </w:rPr>
            </w:pPr>
            <w:r w:rsidRPr="00B51E11">
              <w:rPr>
                <w:lang w:val="en-US"/>
              </w:rPr>
              <w:t>3</w:t>
            </w:r>
            <w:r w:rsidR="000E60F3" w:rsidRPr="00B51E11">
              <w:rPr>
                <w:lang w:val="uk-UA"/>
              </w:rPr>
              <w:t xml:space="preserve"> кредит</w:t>
            </w:r>
            <w:r w:rsidR="00F2163F" w:rsidRPr="00B51E11">
              <w:rPr>
                <w:lang w:val="uk-UA"/>
              </w:rPr>
              <w:t>и</w:t>
            </w:r>
            <w:r w:rsidR="008A3E13" w:rsidRPr="00B51E11">
              <w:rPr>
                <w:lang w:val="uk-UA"/>
              </w:rPr>
              <w:t xml:space="preserve"> </w:t>
            </w:r>
            <w:r w:rsidR="000E60F3" w:rsidRPr="00B51E11">
              <w:rPr>
                <w:lang w:val="uk-UA"/>
              </w:rPr>
              <w:t xml:space="preserve">ЄКТС, </w:t>
            </w:r>
            <w:r w:rsidRPr="00B51E11">
              <w:rPr>
                <w:lang w:val="en-US"/>
              </w:rPr>
              <w:t>90</w:t>
            </w:r>
            <w:r w:rsidR="000E60F3" w:rsidRPr="00B51E11">
              <w:rPr>
                <w:lang w:val="uk-UA"/>
              </w:rPr>
              <w:t xml:space="preserve"> год.</w:t>
            </w:r>
          </w:p>
        </w:tc>
      </w:tr>
      <w:tr w:rsidR="002C2330" w:rsidRPr="00F1312B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Посилання на сайт дистанційно</w:t>
            </w:r>
            <w:r w:rsidR="00F9137E" w:rsidRPr="00B51E11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B51E11" w:rsidRDefault="00884349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51E1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B51E11" w:rsidRDefault="00C354E6" w:rsidP="00C354E6">
            <w:pPr>
              <w:jc w:val="both"/>
            </w:pPr>
            <w:r w:rsidRPr="00B51E11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51E11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B51E11">
              <w:rPr>
                <w:i/>
                <w:iCs/>
                <w:lang w:val="uk-UA"/>
              </w:rPr>
              <w:t xml:space="preserve"> </w:t>
            </w:r>
            <w:r w:rsidR="0040121D" w:rsidRPr="00B51E11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B51E11" w:rsidRDefault="00C354E6" w:rsidP="00C354E6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B51E11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2. Анотація до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</w:p>
        </w:tc>
      </w:tr>
      <w:tr w:rsidR="000F178B" w:rsidRPr="00B51E11" w14:paraId="480DA286" w14:textId="77777777" w:rsidTr="00450F82">
        <w:tc>
          <w:tcPr>
            <w:tcW w:w="9606" w:type="dxa"/>
            <w:gridSpan w:val="9"/>
          </w:tcPr>
          <w:p w14:paraId="047266E1" w14:textId="77777777" w:rsidR="000F178B" w:rsidRPr="007A130B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7A130B">
              <w:rPr>
                <w:u w:val="single"/>
                <w:lang w:val="uk-UA"/>
              </w:rPr>
              <w:t>Предметом</w:t>
            </w:r>
            <w:r w:rsidRPr="007A130B">
              <w:rPr>
                <w:lang w:val="uk-UA"/>
              </w:rPr>
              <w:t xml:space="preserve"> вивчення  навчальної дисципліни є прецедентна </w:t>
            </w:r>
            <w:r w:rsidRPr="007A130B">
              <w:rPr>
                <w:rFonts w:eastAsia="TimesNewRomanPSMT"/>
                <w:lang w:val="uk-UA"/>
              </w:rPr>
              <w:t xml:space="preserve">практика </w:t>
            </w:r>
            <w:r w:rsidRPr="007A130B">
              <w:rPr>
                <w:bCs/>
                <w:color w:val="000000"/>
                <w:lang w:val="uk-UA"/>
              </w:rPr>
              <w:t>Європейського суду з прав людини</w:t>
            </w:r>
            <w:r w:rsidRPr="007A130B">
              <w:rPr>
                <w:rFonts w:eastAsia="TimesNewRomanPSMT"/>
                <w:lang w:val="uk-UA"/>
              </w:rPr>
              <w:t>, а також  нормативно-правові акти, які регламентують питання виконання рішень ЄСПЛ, процедуру судового захисту прав у сфері приватних та публічних правовідносин на підставі рішень ЄСПЛ, їх тлумачення та механізми реалізації, науково-теоретичні дослідження у цій сфері.</w:t>
            </w:r>
          </w:p>
          <w:p w14:paraId="33E17432" w14:textId="77777777" w:rsidR="000F178B" w:rsidRPr="007A130B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7A130B">
              <w:rPr>
                <w:u w:val="single"/>
                <w:lang w:val="uk-UA"/>
              </w:rPr>
              <w:t>змістових модулів</w:t>
            </w:r>
            <w:r w:rsidRPr="007A130B">
              <w:rPr>
                <w:lang w:val="uk-UA"/>
              </w:rPr>
              <w:t>:</w:t>
            </w:r>
          </w:p>
          <w:p w14:paraId="6B336D51" w14:textId="77777777" w:rsidR="000F178B" w:rsidRPr="007A130B" w:rsidRDefault="000F178B" w:rsidP="000F178B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Європейські стандарти у галузі прав людини та конвенційний механізм захисту прав</w:t>
            </w:r>
          </w:p>
          <w:p w14:paraId="2EF59D62" w14:textId="77777777" w:rsidR="000F178B" w:rsidRPr="007A130B" w:rsidRDefault="000F178B" w:rsidP="000F178B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  <w:p w14:paraId="1FA3943E" w14:textId="7E3DB360" w:rsidR="000F178B" w:rsidRPr="007A130B" w:rsidRDefault="000F178B" w:rsidP="000F178B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     </w:t>
            </w:r>
            <w:r w:rsidRPr="007A130B">
              <w:rPr>
                <w:szCs w:val="20"/>
                <w:lang w:val="uk-UA"/>
              </w:rPr>
              <w:t>Навчальна дисципліна «</w:t>
            </w:r>
            <w:r w:rsidR="00B64B13">
              <w:rPr>
                <w:szCs w:val="20"/>
                <w:lang w:val="uk-UA"/>
              </w:rPr>
              <w:t>З</w:t>
            </w:r>
            <w:r>
              <w:rPr>
                <w:szCs w:val="20"/>
                <w:lang w:val="uk-UA"/>
              </w:rPr>
              <w:t>ахист прав і свобод людини і громадянина в ЄСПЛ</w:t>
            </w:r>
            <w:r w:rsidRPr="007A130B">
              <w:rPr>
                <w:szCs w:val="20"/>
                <w:lang w:val="uk-UA"/>
              </w:rPr>
              <w:t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застосування рішень ЄСПЛ як гарантії судового захисту прав, свобод та законних інтересів фізичних і юридичних осіб.</w:t>
            </w:r>
          </w:p>
          <w:p w14:paraId="617AC79E" w14:textId="77777777" w:rsidR="000F178B" w:rsidRPr="007A130B" w:rsidRDefault="000F178B" w:rsidP="000F178B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szCs w:val="20"/>
                <w:lang w:val="uk-UA"/>
              </w:rPr>
              <w:t xml:space="preserve">      Основними джерелами цієї галузі права виступають Європейська</w:t>
            </w:r>
            <w:r w:rsidRPr="007A130B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Pr="007A130B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>
              <w:rPr>
                <w:bCs/>
                <w:color w:val="000000"/>
                <w:lang w:val="uk-UA"/>
              </w:rPr>
              <w:t xml:space="preserve">Цивільний </w:t>
            </w:r>
            <w:r w:rsidRPr="007A130B">
              <w:rPr>
                <w:bCs/>
                <w:color w:val="000000"/>
                <w:lang w:val="uk-UA"/>
              </w:rPr>
              <w:t>процесуальний ко</w:t>
            </w:r>
            <w:r>
              <w:rPr>
                <w:bCs/>
                <w:color w:val="000000"/>
                <w:lang w:val="uk-UA"/>
              </w:rPr>
              <w:t xml:space="preserve">декс України, Кримінальний </w:t>
            </w:r>
            <w:r w:rsidRPr="007A130B">
              <w:rPr>
                <w:bCs/>
                <w:color w:val="000000"/>
                <w:lang w:val="uk-UA"/>
              </w:rPr>
              <w:t xml:space="preserve">процесуальний кодекс України, Кодекс адміністративного судочинства України, Закон України «Про виконавче провадження», </w:t>
            </w:r>
            <w:r w:rsidRPr="007A130B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3E48E1F9" w14:textId="77777777" w:rsidR="000F178B" w:rsidRPr="007A130B" w:rsidRDefault="000F178B" w:rsidP="000F178B">
            <w:pPr>
              <w:keepNext/>
              <w:keepLines/>
              <w:ind w:firstLine="426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Прецедентна практика Європейського суду з прав людини  має динамічний характер розвитку, що впливає на зміст та структуру процесуальних галузей права. </w:t>
            </w:r>
          </w:p>
          <w:p w14:paraId="5DB6C76E" w14:textId="0D11E4AD" w:rsidR="000F178B" w:rsidRPr="00B51E11" w:rsidRDefault="000F178B" w:rsidP="000F178B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>Вивчення навчальної дисципліни сприяє розумінню місця прецедентної практики ЄСПЛ  та судового захисту прав суб’єктів громадянського суспільства у розбудові правової, демократичної держави, 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B51E11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B51E11" w:rsidRDefault="00C67355" w:rsidP="00151BC4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3. </w:t>
            </w:r>
            <w:r w:rsidRPr="00B51E11">
              <w:rPr>
                <w:b/>
              </w:rPr>
              <w:t xml:space="preserve">Мета </w:t>
            </w:r>
            <w:r w:rsidRPr="00B51E11">
              <w:rPr>
                <w:b/>
                <w:lang w:val="uk-UA"/>
              </w:rPr>
              <w:t xml:space="preserve">та цілі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  <w:r w:rsidRPr="00B51E11">
              <w:rPr>
                <w:b/>
                <w:lang w:val="uk-UA"/>
              </w:rPr>
              <w:t xml:space="preserve"> </w:t>
            </w:r>
          </w:p>
        </w:tc>
      </w:tr>
      <w:tr w:rsidR="000F178B" w:rsidRPr="00B51E11" w14:paraId="3FBA6A8C" w14:textId="77777777" w:rsidTr="00450F82">
        <w:tc>
          <w:tcPr>
            <w:tcW w:w="9606" w:type="dxa"/>
            <w:gridSpan w:val="9"/>
          </w:tcPr>
          <w:p w14:paraId="1E887129" w14:textId="52478586" w:rsidR="000F178B" w:rsidRPr="007A130B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Метою</w:t>
            </w:r>
            <w:r w:rsidRPr="007A130B">
              <w:rPr>
                <w:lang w:val="uk-UA"/>
              </w:rPr>
              <w:t xml:space="preserve"> викладання навчальної дисципліни</w:t>
            </w:r>
            <w:r w:rsidR="00B64B13">
              <w:rPr>
                <w:lang w:val="uk-UA"/>
              </w:rPr>
              <w:t xml:space="preserve"> «З</w:t>
            </w:r>
            <w:r>
              <w:rPr>
                <w:lang w:val="uk-UA"/>
              </w:rPr>
              <w:t xml:space="preserve">ахист прав і свобод людини і </w:t>
            </w:r>
            <w:r>
              <w:rPr>
                <w:lang w:val="uk-UA"/>
              </w:rPr>
              <w:lastRenderedPageBreak/>
              <w:t>громадянина в ЄСПЛ</w:t>
            </w:r>
            <w:r w:rsidRPr="007A130B">
              <w:rPr>
                <w:lang w:val="uk-UA"/>
              </w:rPr>
              <w:t xml:space="preserve">» є вивчення теорії і практики застосування Європейської Конвенції про захист прав людини і основоположних свобод, яку Україна ратифікувала 11 вересня 1997р., а отже, відповідно до ст. 9 Конституції України стала «частиною національного законодавства України». </w:t>
            </w:r>
          </w:p>
          <w:p w14:paraId="7369F075" w14:textId="31D98C79" w:rsidR="000F178B" w:rsidRPr="007A130B" w:rsidRDefault="000F178B" w:rsidP="000F178B">
            <w:pPr>
              <w:widowControl w:val="0"/>
              <w:ind w:firstLine="709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Основними завданнями</w:t>
            </w:r>
            <w:r w:rsidRPr="007A130B">
              <w:rPr>
                <w:lang w:val="uk-UA"/>
              </w:rPr>
              <w:t xml:space="preserve"> вивчення дисципліни</w:t>
            </w:r>
            <w:r w:rsidR="00B64B13">
              <w:rPr>
                <w:lang w:val="uk-UA"/>
              </w:rPr>
              <w:t xml:space="preserve"> «З</w:t>
            </w:r>
            <w:r>
              <w:rPr>
                <w:lang w:val="uk-UA"/>
              </w:rPr>
              <w:t>ахист прав і свобод людини і громадянина в ЄСПЛ</w:t>
            </w:r>
            <w:r w:rsidRPr="007A130B">
              <w:rPr>
                <w:lang w:val="uk-UA"/>
              </w:rPr>
              <w:t>» є формування у студентів правового світогляду та мислення, оволодіння студентами сучасними знаннями в галузі міжнародного судового захисту прав людини, закріплення необхідних навичок використання європейських правозахисних механізмів у своїй практичній діяльності, вміння фахово аналізувати рішення Європейського суду з прав людини та визначати рівень ефективності звернення до Європейського суду у конкретних практичних ситуаціях.</w:t>
            </w:r>
          </w:p>
          <w:p w14:paraId="54E3BC44" w14:textId="4503E8FD" w:rsidR="000F178B" w:rsidRPr="00B51E11" w:rsidRDefault="000F178B" w:rsidP="000F178B">
            <w:pPr>
              <w:ind w:firstLine="310"/>
              <w:jc w:val="both"/>
            </w:pPr>
          </w:p>
        </w:tc>
      </w:tr>
      <w:tr w:rsidR="000F178B" w:rsidRPr="00B51E11" w14:paraId="3D2C8FD1" w14:textId="77777777" w:rsidTr="00450F82">
        <w:tc>
          <w:tcPr>
            <w:tcW w:w="9606" w:type="dxa"/>
            <w:gridSpan w:val="9"/>
          </w:tcPr>
          <w:p w14:paraId="6D9661A3" w14:textId="7ABA5EA5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0F178B" w:rsidRPr="00B51E11" w14:paraId="28E782B4" w14:textId="77777777" w:rsidTr="00450F82">
        <w:tc>
          <w:tcPr>
            <w:tcW w:w="9606" w:type="dxa"/>
            <w:gridSpan w:val="9"/>
          </w:tcPr>
          <w:p w14:paraId="1440B161" w14:textId="321DD2BA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B51E11">
              <w:rPr>
                <w:szCs w:val="28"/>
                <w:u w:val="single"/>
              </w:rPr>
              <w:t>Загальні</w:t>
            </w:r>
            <w:proofErr w:type="spellEnd"/>
            <w:r w:rsidRPr="00B51E11">
              <w:rPr>
                <w:szCs w:val="28"/>
                <w:u w:val="single"/>
              </w:rPr>
              <w:t xml:space="preserve"> </w:t>
            </w:r>
            <w:proofErr w:type="spellStart"/>
            <w:r w:rsidRPr="00B51E11">
              <w:rPr>
                <w:szCs w:val="28"/>
                <w:u w:val="single"/>
              </w:rPr>
              <w:t>компетентності</w:t>
            </w:r>
            <w:proofErr w:type="spellEnd"/>
            <w:r w:rsidRPr="00B51E11">
              <w:rPr>
                <w:szCs w:val="28"/>
                <w:u w:val="single"/>
              </w:rPr>
              <w:t>:</w:t>
            </w:r>
          </w:p>
          <w:p w14:paraId="127270FB" w14:textId="0805D77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51E11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0F178B" w:rsidRPr="00B51E11" w14:paraId="643794CD" w14:textId="77777777" w:rsidTr="00450F82">
        <w:tc>
          <w:tcPr>
            <w:tcW w:w="9606" w:type="dxa"/>
            <w:gridSpan w:val="9"/>
          </w:tcPr>
          <w:p w14:paraId="548DEFDB" w14:textId="3FFB292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0F178B" w:rsidRPr="00B51E11" w14:paraId="160FC645" w14:textId="77777777" w:rsidTr="00450F82">
        <w:tc>
          <w:tcPr>
            <w:tcW w:w="9606" w:type="dxa"/>
            <w:gridSpan w:val="9"/>
          </w:tcPr>
          <w:p w14:paraId="43545A0F" w14:textId="76F22984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Обсяг навчальної дисципліни</w:t>
            </w:r>
          </w:p>
        </w:tc>
      </w:tr>
      <w:tr w:rsidR="000F178B" w:rsidRPr="00B51E11" w14:paraId="4453069C" w14:textId="77777777" w:rsidTr="00450F82">
        <w:tc>
          <w:tcPr>
            <w:tcW w:w="3050" w:type="dxa"/>
            <w:gridSpan w:val="4"/>
          </w:tcPr>
          <w:p w14:paraId="76361037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Загальна кількість годин</w:t>
            </w:r>
          </w:p>
        </w:tc>
      </w:tr>
      <w:tr w:rsidR="000F178B" w:rsidRPr="00B51E11" w14:paraId="0E265888" w14:textId="77777777" w:rsidTr="00450F82">
        <w:tc>
          <w:tcPr>
            <w:tcW w:w="3050" w:type="dxa"/>
            <w:gridSpan w:val="4"/>
          </w:tcPr>
          <w:p w14:paraId="40316E21" w14:textId="27DEF75D" w:rsidR="000F178B" w:rsidRPr="00B51E11" w:rsidRDefault="00F1312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F178B"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642B2FB6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F178B" w:rsidRPr="00B51E11" w14:paraId="15D9846B" w14:textId="77777777" w:rsidTr="00450F82">
        <w:tc>
          <w:tcPr>
            <w:tcW w:w="3050" w:type="dxa"/>
            <w:gridSpan w:val="4"/>
          </w:tcPr>
          <w:p w14:paraId="701F1D5D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25BA8218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F178B" w:rsidRPr="00B51E11" w14:paraId="47ED63F2" w14:textId="77777777" w:rsidTr="00450F82">
        <w:tc>
          <w:tcPr>
            <w:tcW w:w="3050" w:type="dxa"/>
            <w:gridSpan w:val="4"/>
          </w:tcPr>
          <w:p w14:paraId="54B9B870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E3D0CDD" w:rsidR="000F178B" w:rsidRPr="00B51E11" w:rsidRDefault="000F178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0F178B" w:rsidRPr="00B51E11" w14:paraId="5D5ED214" w14:textId="77777777" w:rsidTr="00450F82">
        <w:tc>
          <w:tcPr>
            <w:tcW w:w="9606" w:type="dxa"/>
            <w:gridSpan w:val="9"/>
          </w:tcPr>
          <w:p w14:paraId="79200B4F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Ознаки курсу</w:t>
            </w:r>
          </w:p>
        </w:tc>
      </w:tr>
      <w:tr w:rsidR="000F178B" w:rsidRPr="00B51E11" w14:paraId="451A8F47" w14:textId="77777777" w:rsidTr="00450F82">
        <w:tc>
          <w:tcPr>
            <w:tcW w:w="1513" w:type="dxa"/>
            <w:vAlign w:val="center"/>
          </w:tcPr>
          <w:p w14:paraId="19AE3730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F178B" w:rsidRPr="00B51E11" w14:paraId="22CF1807" w14:textId="77777777" w:rsidTr="00450F82">
        <w:tc>
          <w:tcPr>
            <w:tcW w:w="1513" w:type="dxa"/>
          </w:tcPr>
          <w:p w14:paraId="26F76B04" w14:textId="487AF9CC" w:rsidR="000F178B" w:rsidRPr="00B51E11" w:rsidRDefault="00B64B13" w:rsidP="000F178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2203" w:type="dxa"/>
            <w:gridSpan w:val="4"/>
          </w:tcPr>
          <w:p w14:paraId="7CD13238" w14:textId="5578B3DF" w:rsidR="000F178B" w:rsidRPr="00B51E11" w:rsidRDefault="000F178B" w:rsidP="000F178B">
            <w:pPr>
              <w:jc w:val="center"/>
              <w:rPr>
                <w:bCs/>
                <w:lang w:val="uk-UA"/>
              </w:rPr>
            </w:pPr>
            <w:r w:rsidRPr="00B51E11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3EA85ACC" w:rsidR="000F178B" w:rsidRPr="00B51E11" w:rsidRDefault="00B64B13" w:rsidP="000F1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462AF291" w:rsidR="000F178B" w:rsidRPr="00B51E11" w:rsidRDefault="00B64B13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0F178B" w:rsidRPr="00B51E11" w14:paraId="1AE6C91A" w14:textId="77777777" w:rsidTr="00450F82">
        <w:tc>
          <w:tcPr>
            <w:tcW w:w="9606" w:type="dxa"/>
            <w:gridSpan w:val="9"/>
          </w:tcPr>
          <w:p w14:paraId="7DD9783D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Тематика</w:t>
            </w:r>
            <w:r w:rsidRPr="00B51E11">
              <w:t xml:space="preserve"> курс</w:t>
            </w:r>
            <w:r w:rsidRPr="00B51E11">
              <w:rPr>
                <w:lang w:val="uk-UA"/>
              </w:rPr>
              <w:t>у</w:t>
            </w:r>
          </w:p>
        </w:tc>
      </w:tr>
      <w:tr w:rsidR="000F178B" w:rsidRPr="00B51E11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кількість год.</w:t>
            </w:r>
          </w:p>
        </w:tc>
      </w:tr>
      <w:tr w:rsidR="000F178B" w:rsidRPr="00B51E11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сам. роб.</w:t>
            </w:r>
          </w:p>
        </w:tc>
      </w:tr>
      <w:tr w:rsidR="000F178B" w:rsidRPr="00B51E11" w14:paraId="417E305B" w14:textId="77777777" w:rsidTr="00450F82">
        <w:tc>
          <w:tcPr>
            <w:tcW w:w="9606" w:type="dxa"/>
            <w:gridSpan w:val="9"/>
          </w:tcPr>
          <w:p w14:paraId="29872AB5" w14:textId="1BC72588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0F178B" w:rsidRPr="00B51E11" w14:paraId="29CF5F8A" w14:textId="77777777" w:rsidTr="00450F82">
        <w:tc>
          <w:tcPr>
            <w:tcW w:w="6232" w:type="dxa"/>
            <w:gridSpan w:val="6"/>
          </w:tcPr>
          <w:p w14:paraId="26F49192" w14:textId="75BEFC5E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1. Загальна характеристика Конвенції про захист прав людини і основоположних свобод та особливості тлумачення її норм</w:t>
            </w:r>
          </w:p>
        </w:tc>
        <w:tc>
          <w:tcPr>
            <w:tcW w:w="993" w:type="dxa"/>
          </w:tcPr>
          <w:p w14:paraId="6E923F50" w14:textId="15169F20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39578DAC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6EE2D786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8</w:t>
            </w:r>
          </w:p>
        </w:tc>
      </w:tr>
      <w:tr w:rsidR="000F178B" w:rsidRPr="00B51E11" w14:paraId="363D7726" w14:textId="77777777" w:rsidTr="00450F82">
        <w:tc>
          <w:tcPr>
            <w:tcW w:w="6232" w:type="dxa"/>
            <w:gridSpan w:val="6"/>
          </w:tcPr>
          <w:p w14:paraId="71B58301" w14:textId="0DCC269E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2. Європейські стандарти в галузі прав людини</w:t>
            </w:r>
          </w:p>
        </w:tc>
        <w:tc>
          <w:tcPr>
            <w:tcW w:w="993" w:type="dxa"/>
          </w:tcPr>
          <w:p w14:paraId="5B6FADFB" w14:textId="1FE3455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34893580" w:rsidR="000F178B" w:rsidRPr="00B51E11" w:rsidRDefault="00F1312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4259C331" w:rsidR="000F178B" w:rsidRPr="00B51E11" w:rsidRDefault="003C4174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F178B" w:rsidRPr="00B51E11" w14:paraId="3CC79DF7" w14:textId="77777777" w:rsidTr="00450F82">
        <w:tc>
          <w:tcPr>
            <w:tcW w:w="6232" w:type="dxa"/>
            <w:gridSpan w:val="6"/>
          </w:tcPr>
          <w:p w14:paraId="0B56F86B" w14:textId="736D09F8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3. Європейський суд з прав людини: загальні питання організації та діяльності</w:t>
            </w:r>
          </w:p>
        </w:tc>
        <w:tc>
          <w:tcPr>
            <w:tcW w:w="993" w:type="dxa"/>
          </w:tcPr>
          <w:p w14:paraId="2284CA3C" w14:textId="6CE74B8E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4DB688D1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52A2484" w14:textId="5DB757C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8</w:t>
            </w:r>
          </w:p>
        </w:tc>
      </w:tr>
      <w:tr w:rsidR="000F178B" w:rsidRPr="00B51E11" w14:paraId="03F07924" w14:textId="77777777" w:rsidTr="00450F82">
        <w:tc>
          <w:tcPr>
            <w:tcW w:w="6232" w:type="dxa"/>
            <w:gridSpan w:val="6"/>
          </w:tcPr>
          <w:p w14:paraId="5C999885" w14:textId="64EFD131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4. Порядок звернення до Європейського суду з прав людини</w:t>
            </w:r>
          </w:p>
        </w:tc>
        <w:tc>
          <w:tcPr>
            <w:tcW w:w="993" w:type="dxa"/>
          </w:tcPr>
          <w:p w14:paraId="0B7CFEF6" w14:textId="3BB371FE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554DD245" w14:textId="6EAB8D18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25889608" w14:textId="5DAEBEFC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0F178B" w:rsidRPr="00B51E11" w14:paraId="6B309C25" w14:textId="77777777" w:rsidTr="00450F82">
        <w:tc>
          <w:tcPr>
            <w:tcW w:w="6232" w:type="dxa"/>
            <w:gridSpan w:val="6"/>
          </w:tcPr>
          <w:p w14:paraId="7FE340D0" w14:textId="2EDBC6B8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5. Процедура розгляду справ у Європейському суді з прав людини</w:t>
            </w:r>
          </w:p>
        </w:tc>
        <w:tc>
          <w:tcPr>
            <w:tcW w:w="993" w:type="dxa"/>
          </w:tcPr>
          <w:p w14:paraId="4C3A609A" w14:textId="321EC1EB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7698C34B" w14:textId="4650C36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D88FBCC" w14:textId="13E1C00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0F178B" w:rsidRPr="00B51E11" w14:paraId="68FA3223" w14:textId="77777777" w:rsidTr="00450F82">
        <w:tc>
          <w:tcPr>
            <w:tcW w:w="6232" w:type="dxa"/>
            <w:gridSpan w:val="6"/>
          </w:tcPr>
          <w:p w14:paraId="374D00F1" w14:textId="2E70402B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6. Виконання рішень Європейського суду з прав людини</w:t>
            </w:r>
          </w:p>
        </w:tc>
        <w:tc>
          <w:tcPr>
            <w:tcW w:w="993" w:type="dxa"/>
          </w:tcPr>
          <w:p w14:paraId="2029EC27" w14:textId="75B9E8C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555C67" w14:textId="2364759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568FED3C" w:rsidR="000F178B" w:rsidRPr="00B51E11" w:rsidRDefault="000F178B" w:rsidP="000F178B">
            <w:pPr>
              <w:jc w:val="center"/>
              <w:rPr>
                <w:bCs/>
                <w:lang w:val="uk-UA"/>
              </w:rPr>
            </w:pPr>
            <w:r w:rsidRPr="00B51E11">
              <w:rPr>
                <w:bCs/>
                <w:lang w:val="uk-UA"/>
              </w:rPr>
              <w:t>8</w:t>
            </w:r>
          </w:p>
        </w:tc>
      </w:tr>
      <w:tr w:rsidR="000F178B" w:rsidRPr="00B51E11" w14:paraId="17305F08" w14:textId="77777777" w:rsidTr="00450F82">
        <w:tc>
          <w:tcPr>
            <w:tcW w:w="9606" w:type="dxa"/>
            <w:gridSpan w:val="9"/>
          </w:tcPr>
          <w:p w14:paraId="12DEB810" w14:textId="479F2B43" w:rsidR="000F178B" w:rsidRPr="00B51E11" w:rsidRDefault="000F178B" w:rsidP="000F178B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B51E11">
              <w:rPr>
                <w:b/>
                <w:bCs/>
                <w:lang w:val="uk-UA"/>
              </w:rPr>
              <w:t>Модуль 2.</w:t>
            </w:r>
          </w:p>
          <w:p w14:paraId="332E6DA0" w14:textId="0547F8A3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</w:tc>
      </w:tr>
      <w:tr w:rsidR="000F178B" w:rsidRPr="00B51E11" w14:paraId="1AA0A0DC" w14:textId="77777777" w:rsidTr="00450F82">
        <w:tc>
          <w:tcPr>
            <w:tcW w:w="6232" w:type="dxa"/>
            <w:gridSpan w:val="6"/>
          </w:tcPr>
          <w:p w14:paraId="11CB9D14" w14:textId="54E1D3D0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7. Імплементація Конвенції про захист прав людини і основоположних свобод у національну правову систему України</w:t>
            </w:r>
          </w:p>
        </w:tc>
        <w:tc>
          <w:tcPr>
            <w:tcW w:w="993" w:type="dxa"/>
          </w:tcPr>
          <w:p w14:paraId="4B55BFA3" w14:textId="2CDFCAAC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6A475E5F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6CFBD5D" w14:textId="4EFC4FAF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6</w:t>
            </w:r>
          </w:p>
        </w:tc>
      </w:tr>
      <w:tr w:rsidR="000F178B" w:rsidRPr="00B51E11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90FE107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8. Вплив Конвенції про захист прав людини і основоположних свобод на національне судочинство</w:t>
            </w:r>
          </w:p>
        </w:tc>
        <w:tc>
          <w:tcPr>
            <w:tcW w:w="993" w:type="dxa"/>
          </w:tcPr>
          <w:p w14:paraId="1A67D403" w14:textId="78248A6F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412A4C1" w:rsidR="000F178B" w:rsidRPr="00B51E11" w:rsidRDefault="000F178B" w:rsidP="000F178B">
            <w:pPr>
              <w:pStyle w:val="a9"/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4089B900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10</w:t>
            </w:r>
          </w:p>
        </w:tc>
      </w:tr>
      <w:tr w:rsidR="000F178B" w:rsidRPr="00B51E11" w14:paraId="60AC31FF" w14:textId="77777777" w:rsidTr="00450F82">
        <w:tc>
          <w:tcPr>
            <w:tcW w:w="6232" w:type="dxa"/>
            <w:gridSpan w:val="6"/>
          </w:tcPr>
          <w:p w14:paraId="64E34FCE" w14:textId="110C5E9B" w:rsidR="000F178B" w:rsidRPr="00B51E11" w:rsidRDefault="000F178B" w:rsidP="000F178B">
            <w:pPr>
              <w:rPr>
                <w:lang w:val="uk-UA"/>
              </w:rPr>
            </w:pPr>
            <w:r w:rsidRPr="00B51E11">
              <w:rPr>
                <w:lang w:val="uk-UA"/>
              </w:rPr>
              <w:t>Тема № 9. Аналіз прецедентної практики Європейського суду з прав людини щодо України</w:t>
            </w:r>
          </w:p>
        </w:tc>
        <w:tc>
          <w:tcPr>
            <w:tcW w:w="993" w:type="dxa"/>
          </w:tcPr>
          <w:p w14:paraId="7F798AB1" w14:textId="206EF630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5BE750C6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07531745" w:rsidR="000F178B" w:rsidRPr="00B51E11" w:rsidRDefault="00917705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F178B" w:rsidRPr="00B51E11" w14:paraId="0348F37F" w14:textId="77777777" w:rsidTr="00450F82">
        <w:tc>
          <w:tcPr>
            <w:tcW w:w="6232" w:type="dxa"/>
            <w:gridSpan w:val="6"/>
          </w:tcPr>
          <w:p w14:paraId="3AC21ED7" w14:textId="7D2BF453" w:rsidR="000F178B" w:rsidRPr="00B51E11" w:rsidRDefault="000F178B" w:rsidP="000F178B">
            <w:pPr>
              <w:jc w:val="right"/>
              <w:rPr>
                <w:lang w:val="uk-UA"/>
              </w:rPr>
            </w:pPr>
            <w:r w:rsidRPr="00B51E11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430400B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506E3C9E" w:rsidR="000F178B" w:rsidRPr="00B51E11" w:rsidRDefault="00F1312B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14:paraId="7610F30B" w14:textId="4F413EF6" w:rsidR="000F178B" w:rsidRPr="00B51E11" w:rsidRDefault="00917705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0F178B" w:rsidRPr="00B51E11" w14:paraId="42CA4638" w14:textId="77777777" w:rsidTr="00450F82">
        <w:tc>
          <w:tcPr>
            <w:tcW w:w="9606" w:type="dxa"/>
            <w:gridSpan w:val="9"/>
          </w:tcPr>
          <w:p w14:paraId="2B53A413" w14:textId="79F8BC87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0F178B" w:rsidRPr="00F1312B" w14:paraId="4AE8DBE4" w14:textId="77777777" w:rsidTr="00450F82">
        <w:tc>
          <w:tcPr>
            <w:tcW w:w="1898" w:type="dxa"/>
            <w:gridSpan w:val="2"/>
          </w:tcPr>
          <w:p w14:paraId="64F49999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4CFDE2A4" w:rsidR="000F178B" w:rsidRPr="00B51E11" w:rsidRDefault="000F178B" w:rsidP="000F178B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law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0F178B" w:rsidRPr="00F1312B" w14:paraId="56330FB8" w14:textId="77777777" w:rsidTr="00450F82">
        <w:tc>
          <w:tcPr>
            <w:tcW w:w="1898" w:type="dxa"/>
            <w:gridSpan w:val="2"/>
          </w:tcPr>
          <w:p w14:paraId="62489E3B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16EB2690" w14:textId="580E84C3" w:rsidR="000F178B" w:rsidRPr="00B51E11" w:rsidRDefault="00B64B13" w:rsidP="000F178B">
            <w:pPr>
              <w:ind w:firstLine="185"/>
              <w:jc w:val="both"/>
              <w:rPr>
                <w:iCs/>
                <w:lang w:val="uk-UA"/>
              </w:rPr>
            </w:pPr>
            <w:r w:rsidRPr="00156BF6">
              <w:rPr>
                <w:lang w:val="uk-UA"/>
              </w:rPr>
              <w:t xml:space="preserve">Вивчення дисципліни </w:t>
            </w:r>
            <w:r>
              <w:rPr>
                <w:lang w:val="uk-UA"/>
              </w:rPr>
              <w:t xml:space="preserve">не передбачає </w:t>
            </w:r>
            <w:r w:rsidRPr="00156BF6">
              <w:rPr>
                <w:lang w:val="uk-UA"/>
              </w:rPr>
              <w:t xml:space="preserve">виконання студентами письмової домашньої </w:t>
            </w:r>
            <w:r>
              <w:rPr>
                <w:lang w:val="uk-UA"/>
              </w:rPr>
              <w:t xml:space="preserve">контрольної роботи, оскільки навчальна дисципліна є заліковою. У кінці вивчення дисципліни студенти складають залік, </w:t>
            </w:r>
            <w:r w:rsidRPr="00156BF6">
              <w:rPr>
                <w:i/>
                <w:lang w:val="uk-UA"/>
              </w:rPr>
              <w:lastRenderedPageBreak/>
              <w:t xml:space="preserve">програмові вимоги до здачі заліку розміщені на </w:t>
            </w:r>
            <w:r w:rsidRPr="00156BF6">
              <w:rPr>
                <w:i/>
                <w:iCs/>
                <w:lang w:val="uk-UA"/>
              </w:rPr>
              <w:t>сайті кафедри</w:t>
            </w:r>
            <w:r w:rsidRPr="000C2337">
              <w:rPr>
                <w:lang w:val="uk-UA"/>
              </w:rPr>
              <w:t xml:space="preserve"> </w:t>
            </w:r>
            <w:r w:rsidRPr="007562D2">
              <w:rPr>
                <w:lang w:val="uk-UA"/>
              </w:rPr>
              <w:t>https://ksud.pnu.edu.ua/програмові-вимоги-2/</w:t>
            </w:r>
          </w:p>
        </w:tc>
      </w:tr>
      <w:tr w:rsidR="000F178B" w:rsidRPr="00F1312B" w14:paraId="508B181F" w14:textId="77777777" w:rsidTr="00450F82">
        <w:tc>
          <w:tcPr>
            <w:tcW w:w="1898" w:type="dxa"/>
            <w:gridSpan w:val="2"/>
          </w:tcPr>
          <w:p w14:paraId="7FEEE287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4948E32A" w:rsidR="000F178B" w:rsidRPr="00B51E11" w:rsidRDefault="000F178B" w:rsidP="000F178B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B51E11">
              <w:rPr>
                <w:lang w:val="uk-UA"/>
              </w:rPr>
              <w:t>п.п</w:t>
            </w:r>
            <w:proofErr w:type="spellEnd"/>
            <w:r w:rsidRPr="00B51E11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F178B" w:rsidRPr="00B51E11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027BF86B" w:rsidR="000F178B" w:rsidRPr="00B51E11" w:rsidRDefault="000F178B" w:rsidP="000F178B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F178B" w:rsidRPr="00B51E11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0F178B" w:rsidRPr="00B51E11" w:rsidRDefault="000F178B" w:rsidP="000F178B">
            <w:pPr>
              <w:jc w:val="center"/>
            </w:pPr>
            <w:r w:rsidRPr="00B51E11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26877774" w14:textId="6D5D5BCD" w:rsidR="00B64B13" w:rsidRPr="00B51E11" w:rsidRDefault="00B64B13" w:rsidP="00B64B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залік у письмовій формі</w:t>
            </w:r>
            <w:r w:rsidRPr="00B51E11">
              <w:rPr>
                <w:lang w:val="uk-UA"/>
              </w:rPr>
              <w:t>.</w:t>
            </w:r>
          </w:p>
          <w:p w14:paraId="194E1C0F" w14:textId="35FE59E9" w:rsidR="000F178B" w:rsidRPr="00B51E11" w:rsidRDefault="00B64B13" w:rsidP="00B64B13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0F178B" w:rsidRPr="00B51E11" w14:paraId="15D5AB4A" w14:textId="77777777" w:rsidTr="00450F82">
        <w:tc>
          <w:tcPr>
            <w:tcW w:w="9606" w:type="dxa"/>
            <w:gridSpan w:val="9"/>
          </w:tcPr>
          <w:p w14:paraId="2EE4AD36" w14:textId="0CFB1169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0F178B" w:rsidRPr="00F1312B" w14:paraId="7507D138" w14:textId="77777777" w:rsidTr="00450F82">
        <w:tc>
          <w:tcPr>
            <w:tcW w:w="9606" w:type="dxa"/>
            <w:gridSpan w:val="9"/>
          </w:tcPr>
          <w:p w14:paraId="0486BE67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663D4BCC" w:rsidR="000F178B" w:rsidRPr="00B51E11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B51E11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B51E11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B51E11">
              <w:rPr>
                <w:lang w:val="uk-UA"/>
              </w:rPr>
              <w:t xml:space="preserve">– </w:t>
            </w:r>
            <w:r w:rsidRPr="00B51E11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r w:rsidRPr="00B51E11">
              <w:rPr>
                <w:rFonts w:eastAsia="TimesNewRomanPSMT"/>
                <w:i/>
                <w:iCs/>
                <w:lang w:val="uk-UA" w:eastAsia="en-US"/>
              </w:rPr>
              <w:t xml:space="preserve"> </w:t>
            </w:r>
            <w:hyperlink r:id="rId9" w:history="1">
              <w:r w:rsidRPr="00B51E11">
                <w:rPr>
                  <w:rStyle w:val="a8"/>
                  <w:rFonts w:eastAsia="TimesNewRomanPSMT"/>
                  <w:iCs/>
                  <w:lang w:val="uk-UA" w:eastAsia="en-US"/>
                </w:rPr>
                <w:t>https://ksud.pnu.edu.ua/заочна-форма-навчання/</w:t>
              </w:r>
            </w:hyperlink>
          </w:p>
          <w:p w14:paraId="75E38F95" w14:textId="77777777" w:rsidR="000F178B" w:rsidRPr="00B51E11" w:rsidRDefault="000F178B" w:rsidP="000F178B">
            <w:pPr>
              <w:jc w:val="both"/>
              <w:rPr>
                <w:u w:val="single"/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     </w:t>
            </w:r>
            <w:r w:rsidRPr="00B51E11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608349A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B51E11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B51E11">
                <w:rPr>
                  <w:rStyle w:val="a8"/>
                </w:rPr>
                <w:t>https</w:t>
              </w:r>
              <w:r w:rsidRPr="00B51E11">
                <w:rPr>
                  <w:rStyle w:val="a8"/>
                  <w:lang w:val="uk-UA"/>
                </w:rPr>
                <w:t>://</w:t>
              </w:r>
              <w:r w:rsidRPr="00B51E11">
                <w:rPr>
                  <w:rStyle w:val="a8"/>
                </w:rPr>
                <w:t>pnu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edu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ua</w:t>
              </w:r>
              <w:r w:rsidRPr="00B51E11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B51E11">
              <w:rPr>
                <w:lang w:val="uk-UA"/>
              </w:rPr>
              <w:t>.</w:t>
            </w:r>
          </w:p>
          <w:p w14:paraId="73D6B9F4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0FA8C6D2" w:rsidR="000F178B" w:rsidRPr="00B51E11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заняття курсу.</w:t>
            </w:r>
          </w:p>
        </w:tc>
      </w:tr>
      <w:tr w:rsidR="000F178B" w:rsidRPr="00B51E11" w14:paraId="3415B1B7" w14:textId="77777777" w:rsidTr="00450F82">
        <w:tc>
          <w:tcPr>
            <w:tcW w:w="9606" w:type="dxa"/>
            <w:gridSpan w:val="9"/>
          </w:tcPr>
          <w:p w14:paraId="47F24389" w14:textId="77777777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8. Рекомендована література</w:t>
            </w:r>
          </w:p>
        </w:tc>
      </w:tr>
      <w:tr w:rsidR="000F178B" w:rsidRPr="00B51E11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783D2328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>Механізми захисту прав в Україні (деякі науково-практичні аспекти) під ред. Є. Б. Кубка. – К. : ПрАТ "Юриди</w:t>
            </w:r>
            <w:r>
              <w:rPr>
                <w:szCs w:val="28"/>
                <w:lang w:val="uk-UA"/>
              </w:rPr>
              <w:t>чна практика", 2016. 656 с.</w:t>
            </w:r>
          </w:p>
          <w:p w14:paraId="1A7018C7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proofErr w:type="spellStart"/>
            <w:r w:rsidRPr="00ED7686">
              <w:rPr>
                <w:szCs w:val="28"/>
                <w:lang w:val="uk-UA"/>
              </w:rPr>
              <w:t>Бущенко</w:t>
            </w:r>
            <w:proofErr w:type="spellEnd"/>
            <w:r w:rsidRPr="00ED7686">
              <w:rPr>
                <w:szCs w:val="28"/>
                <w:lang w:val="uk-UA"/>
              </w:rPr>
              <w:t>, А.  "</w:t>
            </w:r>
            <w:proofErr w:type="spellStart"/>
            <w:r w:rsidRPr="00ED7686">
              <w:rPr>
                <w:szCs w:val="28"/>
                <w:lang w:val="uk-UA"/>
              </w:rPr>
              <w:t>Precedent</w:t>
            </w:r>
            <w:proofErr w:type="spellEnd"/>
            <w:r w:rsidRPr="00ED7686">
              <w:rPr>
                <w:szCs w:val="28"/>
                <w:lang w:val="uk-UA"/>
              </w:rPr>
              <w:t xml:space="preserve"> UA -2015</w:t>
            </w:r>
            <w:r>
              <w:rPr>
                <w:szCs w:val="28"/>
                <w:lang w:val="uk-UA"/>
              </w:rPr>
              <w:t>". – К. : КВІЦ, 2015. 412 с.</w:t>
            </w:r>
          </w:p>
          <w:p w14:paraId="3DFF35E2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proofErr w:type="spellStart"/>
            <w:r w:rsidRPr="00ED7686">
              <w:rPr>
                <w:szCs w:val="28"/>
                <w:lang w:val="uk-UA"/>
              </w:rPr>
              <w:t>Дудаш</w:t>
            </w:r>
            <w:proofErr w:type="spellEnd"/>
            <w:r w:rsidRPr="00ED7686">
              <w:rPr>
                <w:szCs w:val="28"/>
                <w:lang w:val="uk-UA"/>
              </w:rPr>
              <w:t xml:space="preserve"> Т. І. Практика Європейського суду з прав людини: </w:t>
            </w:r>
            <w:proofErr w:type="spellStart"/>
            <w:r w:rsidRPr="00ED7686">
              <w:rPr>
                <w:szCs w:val="28"/>
                <w:lang w:val="uk-UA"/>
              </w:rPr>
              <w:t>навч</w:t>
            </w:r>
            <w:proofErr w:type="spellEnd"/>
            <w:r w:rsidRPr="00ED7686">
              <w:rPr>
                <w:szCs w:val="28"/>
                <w:lang w:val="uk-UA"/>
              </w:rPr>
              <w:t xml:space="preserve">. </w:t>
            </w:r>
            <w:proofErr w:type="spellStart"/>
            <w:r w:rsidRPr="00ED7686">
              <w:rPr>
                <w:szCs w:val="28"/>
                <w:lang w:val="uk-UA"/>
              </w:rPr>
              <w:t>посіб</w:t>
            </w:r>
            <w:proofErr w:type="spellEnd"/>
            <w:r w:rsidRPr="00ED7686">
              <w:rPr>
                <w:szCs w:val="28"/>
                <w:lang w:val="uk-UA"/>
              </w:rPr>
              <w:t>. 3-тє вид.</w:t>
            </w:r>
            <w:r>
              <w:rPr>
                <w:szCs w:val="28"/>
                <w:lang w:val="uk-UA"/>
              </w:rPr>
              <w:t xml:space="preserve"> – К. : </w:t>
            </w:r>
            <w:proofErr w:type="spellStart"/>
            <w:r>
              <w:rPr>
                <w:szCs w:val="28"/>
                <w:lang w:val="uk-UA"/>
              </w:rPr>
              <w:t>Алерта</w:t>
            </w:r>
            <w:proofErr w:type="spellEnd"/>
            <w:r>
              <w:rPr>
                <w:szCs w:val="28"/>
                <w:lang w:val="uk-UA"/>
              </w:rPr>
              <w:t>, 2013. 488 с.</w:t>
            </w:r>
          </w:p>
          <w:p w14:paraId="44BE5D72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 xml:space="preserve">Дослідження практики Європейського суду з прав людини для визначення Національних стандартів компенсацій порушення державою прав людини: </w:t>
            </w:r>
            <w:proofErr w:type="spellStart"/>
            <w:r w:rsidRPr="00ED7686">
              <w:rPr>
                <w:szCs w:val="28"/>
                <w:lang w:val="uk-UA"/>
              </w:rPr>
              <w:t>інфор.-аналіт.зв</w:t>
            </w:r>
            <w:r>
              <w:rPr>
                <w:szCs w:val="28"/>
                <w:lang w:val="uk-UA"/>
              </w:rPr>
              <w:t>іт</w:t>
            </w:r>
            <w:proofErr w:type="spellEnd"/>
            <w:r>
              <w:rPr>
                <w:szCs w:val="28"/>
                <w:lang w:val="uk-UA"/>
              </w:rPr>
              <w:t xml:space="preserve">. -К.: </w:t>
            </w:r>
            <w:proofErr w:type="spellStart"/>
            <w:r>
              <w:rPr>
                <w:szCs w:val="28"/>
                <w:lang w:val="uk-UA"/>
              </w:rPr>
              <w:t>Атіка</w:t>
            </w:r>
            <w:proofErr w:type="spellEnd"/>
            <w:r>
              <w:rPr>
                <w:szCs w:val="28"/>
                <w:lang w:val="uk-UA"/>
              </w:rPr>
              <w:t>, 2011. 184 с.</w:t>
            </w:r>
          </w:p>
          <w:p w14:paraId="14A2BAF2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 xml:space="preserve">Вибрані справи Європейського суду з прав людини. Укладачі: Ю. Зайцев, О. </w:t>
            </w:r>
            <w:proofErr w:type="spellStart"/>
            <w:r w:rsidRPr="00ED7686">
              <w:rPr>
                <w:szCs w:val="28"/>
                <w:lang w:val="uk-UA"/>
              </w:rPr>
              <w:t>Павліченко</w:t>
            </w:r>
            <w:proofErr w:type="spellEnd"/>
            <w:r w:rsidRPr="00ED7686">
              <w:rPr>
                <w:szCs w:val="28"/>
                <w:lang w:val="uk-UA"/>
              </w:rPr>
              <w:t>. Вип. I</w:t>
            </w:r>
            <w:r>
              <w:rPr>
                <w:szCs w:val="28"/>
                <w:lang w:val="uk-UA"/>
              </w:rPr>
              <w:t>V.-К. : Фенікс, 2005. 400 с.</w:t>
            </w:r>
          </w:p>
          <w:p w14:paraId="4ABEE693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 xml:space="preserve">Вибрані справи Європейського суду з прав людини. Уклад. О. </w:t>
            </w:r>
            <w:proofErr w:type="spellStart"/>
            <w:r w:rsidRPr="00ED7686">
              <w:rPr>
                <w:szCs w:val="28"/>
                <w:lang w:val="uk-UA"/>
              </w:rPr>
              <w:t>Павліченко</w:t>
            </w:r>
            <w:proofErr w:type="spellEnd"/>
            <w:r w:rsidRPr="00ED7686">
              <w:rPr>
                <w:szCs w:val="28"/>
                <w:lang w:val="uk-UA"/>
              </w:rPr>
              <w:t>. Вип. V</w:t>
            </w:r>
            <w:r>
              <w:rPr>
                <w:szCs w:val="28"/>
                <w:lang w:val="uk-UA"/>
              </w:rPr>
              <w:t>. – К.: Фенікс, 2007. 656 с.</w:t>
            </w:r>
          </w:p>
          <w:p w14:paraId="4CE0AAB0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>Практика Європейського суду з прав людини. Рішення. Коментарі. № 3 (08). – К. :</w:t>
            </w:r>
            <w:r>
              <w:rPr>
                <w:szCs w:val="28"/>
                <w:lang w:val="uk-UA"/>
              </w:rPr>
              <w:t xml:space="preserve"> Юрінком Інтер, 2012. 239 с.</w:t>
            </w:r>
          </w:p>
          <w:p w14:paraId="389A36D9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 xml:space="preserve">Практика Європейського суду з прав людини. Рішення. Коментарі. № 4 (09). – К. : Юрінком Інтер, 2012. 239 </w:t>
            </w:r>
            <w:r>
              <w:rPr>
                <w:szCs w:val="28"/>
                <w:lang w:val="uk-UA"/>
              </w:rPr>
              <w:t>с.</w:t>
            </w:r>
          </w:p>
          <w:p w14:paraId="44C4F10E" w14:textId="77777777" w:rsidR="00ED7686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 xml:space="preserve">Навчально-методичний посібник для тренерів навчального курсу для суддів «Застосування Конвенції про захист прав людини і основоположних свобод та практики </w:t>
            </w:r>
            <w:r w:rsidRPr="00ED7686">
              <w:rPr>
                <w:szCs w:val="28"/>
                <w:lang w:val="uk-UA"/>
              </w:rPr>
              <w:lastRenderedPageBreak/>
              <w:t xml:space="preserve">європейського суду з прав людини при здійсненні правосуддя». </w:t>
            </w:r>
            <w:r>
              <w:rPr>
                <w:szCs w:val="28"/>
                <w:lang w:val="uk-UA"/>
              </w:rPr>
              <w:t>– К.: ВАІТЕ, 2017. – 192 с.</w:t>
            </w:r>
          </w:p>
          <w:p w14:paraId="3F4F963E" w14:textId="4D9AC002" w:rsidR="000F178B" w:rsidRPr="00ED7686" w:rsidRDefault="00ED7686" w:rsidP="00ED7686">
            <w:pPr>
              <w:pStyle w:val="a5"/>
              <w:numPr>
                <w:ilvl w:val="3"/>
                <w:numId w:val="5"/>
              </w:numPr>
              <w:tabs>
                <w:tab w:val="left" w:pos="873"/>
              </w:tabs>
              <w:ind w:left="22" w:firstLine="567"/>
              <w:jc w:val="both"/>
              <w:rPr>
                <w:lang w:val="uk-UA"/>
              </w:rPr>
            </w:pPr>
            <w:r w:rsidRPr="00ED7686">
              <w:rPr>
                <w:szCs w:val="28"/>
                <w:lang w:val="uk-UA"/>
              </w:rPr>
              <w:t>Симонова І.В. Проблеми захисту соціальних прав в Європейському суді з прав людини в контексті реформи суду. Юридичний науковий електронний журнал. №5. 2020. С. 231-234.</w:t>
            </w:r>
          </w:p>
        </w:tc>
      </w:tr>
    </w:tbl>
    <w:p w14:paraId="71F88F1A" w14:textId="77777777" w:rsidR="00450F82" w:rsidRPr="00B51E11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B51E11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2E1FAA2E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В</w:t>
      </w:r>
      <w:r w:rsidR="00335A19" w:rsidRPr="00B51E11">
        <w:rPr>
          <w:b/>
          <w:sz w:val="28"/>
          <w:szCs w:val="28"/>
          <w:lang w:val="uk-UA"/>
        </w:rPr>
        <w:t>икладач</w:t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335A19" w:rsidRPr="00B51E11">
        <w:rPr>
          <w:b/>
          <w:sz w:val="28"/>
          <w:szCs w:val="28"/>
          <w:lang w:val="uk-UA"/>
        </w:rPr>
        <w:t xml:space="preserve"> </w:t>
      </w:r>
      <w:r w:rsidRPr="00B51E11">
        <w:rPr>
          <w:b/>
          <w:sz w:val="28"/>
          <w:szCs w:val="28"/>
          <w:lang w:val="uk-UA"/>
        </w:rPr>
        <w:t>_________________</w:t>
      </w:r>
      <w:r w:rsidR="004E45D8">
        <w:rPr>
          <w:bCs/>
          <w:sz w:val="28"/>
          <w:szCs w:val="28"/>
          <w:lang w:val="uk-UA"/>
        </w:rPr>
        <w:t xml:space="preserve"> </w:t>
      </w:r>
      <w:proofErr w:type="spellStart"/>
      <w:r w:rsidR="004E45D8">
        <w:rPr>
          <w:bCs/>
          <w:sz w:val="28"/>
          <w:szCs w:val="28"/>
          <w:lang w:val="uk-UA"/>
        </w:rPr>
        <w:t>асист</w:t>
      </w:r>
      <w:proofErr w:type="spellEnd"/>
      <w:r w:rsidR="004E45D8">
        <w:rPr>
          <w:bCs/>
          <w:sz w:val="28"/>
          <w:szCs w:val="28"/>
          <w:lang w:val="uk-UA"/>
        </w:rPr>
        <w:t>. Н.Я. 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0F178B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223B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C4174"/>
    <w:rsid w:val="003D7058"/>
    <w:rsid w:val="0040121D"/>
    <w:rsid w:val="00413C6E"/>
    <w:rsid w:val="004411D1"/>
    <w:rsid w:val="00450F82"/>
    <w:rsid w:val="004764AE"/>
    <w:rsid w:val="00483A45"/>
    <w:rsid w:val="00485250"/>
    <w:rsid w:val="004A515E"/>
    <w:rsid w:val="004E45D8"/>
    <w:rsid w:val="004F7AFF"/>
    <w:rsid w:val="00523427"/>
    <w:rsid w:val="005368F1"/>
    <w:rsid w:val="005462FD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A14B2"/>
    <w:rsid w:val="00733639"/>
    <w:rsid w:val="00741461"/>
    <w:rsid w:val="007607F9"/>
    <w:rsid w:val="007820D3"/>
    <w:rsid w:val="00784AB3"/>
    <w:rsid w:val="00802962"/>
    <w:rsid w:val="00816393"/>
    <w:rsid w:val="00835D68"/>
    <w:rsid w:val="008364B5"/>
    <w:rsid w:val="0086099E"/>
    <w:rsid w:val="00884349"/>
    <w:rsid w:val="00885080"/>
    <w:rsid w:val="008A3E13"/>
    <w:rsid w:val="00911755"/>
    <w:rsid w:val="0091654F"/>
    <w:rsid w:val="00917705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02224"/>
    <w:rsid w:val="00A04450"/>
    <w:rsid w:val="00A12E35"/>
    <w:rsid w:val="00A227B3"/>
    <w:rsid w:val="00A25CBD"/>
    <w:rsid w:val="00A663CE"/>
    <w:rsid w:val="00AA5523"/>
    <w:rsid w:val="00AB26E3"/>
    <w:rsid w:val="00AB324B"/>
    <w:rsid w:val="00AC76DC"/>
    <w:rsid w:val="00AF6284"/>
    <w:rsid w:val="00B10A22"/>
    <w:rsid w:val="00B51E11"/>
    <w:rsid w:val="00B64B13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B1E3F"/>
    <w:rsid w:val="00CC397F"/>
    <w:rsid w:val="00D121B1"/>
    <w:rsid w:val="00D22E42"/>
    <w:rsid w:val="00D264CF"/>
    <w:rsid w:val="00D53D2E"/>
    <w:rsid w:val="00D66F9A"/>
    <w:rsid w:val="00D74B80"/>
    <w:rsid w:val="00DC269A"/>
    <w:rsid w:val="00DE6977"/>
    <w:rsid w:val="00E13D32"/>
    <w:rsid w:val="00E44F0E"/>
    <w:rsid w:val="00ED7686"/>
    <w:rsid w:val="00EE1819"/>
    <w:rsid w:val="00EE4289"/>
    <w:rsid w:val="00F1312B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40BD1-34AF-4B59-810C-30FCD63C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8491</Words>
  <Characters>4840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2022-05-27T11:25:00Z</dcterms:created>
  <dcterms:modified xsi:type="dcterms:W3CDTF">2022-06-27T09:05:00Z</dcterms:modified>
</cp:coreProperties>
</file>