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B3F" w:rsidRPr="00276003" w:rsidRDefault="00631B3F" w:rsidP="00990BD9">
      <w:pPr>
        <w:ind w:left="5954"/>
        <w:rPr>
          <w:lang w:val="uk-UA"/>
        </w:rPr>
      </w:pPr>
      <w:r w:rsidRPr="00276003">
        <w:rPr>
          <w:lang w:val="uk-UA"/>
        </w:rPr>
        <w:t xml:space="preserve">Затверджено на засіданні </w:t>
      </w:r>
    </w:p>
    <w:p w:rsidR="00631B3F" w:rsidRPr="00276003" w:rsidRDefault="00631B3F" w:rsidP="00990BD9">
      <w:pPr>
        <w:ind w:left="5954"/>
        <w:rPr>
          <w:lang w:val="uk-UA"/>
        </w:rPr>
      </w:pPr>
      <w:r w:rsidRPr="00276003">
        <w:rPr>
          <w:lang w:val="uk-UA"/>
        </w:rPr>
        <w:t xml:space="preserve">кафедри судочинства </w:t>
      </w:r>
    </w:p>
    <w:p w:rsidR="00631B3F" w:rsidRDefault="00631B3F" w:rsidP="00E37D46">
      <w:pPr>
        <w:ind w:left="5954"/>
        <w:rPr>
          <w:lang w:val="uk-UA"/>
        </w:rPr>
      </w:pPr>
      <w:r w:rsidRPr="00276003">
        <w:rPr>
          <w:lang w:val="uk-UA"/>
        </w:rPr>
        <w:t>протокол №</w:t>
      </w:r>
      <w:r w:rsidR="003F796C">
        <w:rPr>
          <w:lang w:val="uk-UA"/>
        </w:rPr>
        <w:t>1</w:t>
      </w:r>
      <w:r w:rsidRPr="00276003">
        <w:rPr>
          <w:lang w:val="uk-UA"/>
        </w:rPr>
        <w:t xml:space="preserve"> від </w:t>
      </w:r>
      <w:r w:rsidR="003F796C">
        <w:rPr>
          <w:lang w:val="uk-UA"/>
        </w:rPr>
        <w:t>31 серпня</w:t>
      </w:r>
      <w:r w:rsidR="00183D31">
        <w:rPr>
          <w:lang w:val="uk-UA"/>
        </w:rPr>
        <w:t xml:space="preserve"> </w:t>
      </w:r>
      <w:r w:rsidRPr="00276003">
        <w:rPr>
          <w:lang w:val="uk-UA"/>
        </w:rPr>
        <w:t>20</w:t>
      </w:r>
      <w:r w:rsidR="003F796C">
        <w:rPr>
          <w:lang w:val="uk-UA"/>
        </w:rPr>
        <w:t>22</w:t>
      </w:r>
      <w:r w:rsidRPr="00276003">
        <w:rPr>
          <w:lang w:val="uk-UA"/>
        </w:rPr>
        <w:t>р.</w:t>
      </w:r>
    </w:p>
    <w:p w:rsidR="00183D31" w:rsidRPr="00276003" w:rsidRDefault="00183D31" w:rsidP="00E37D46">
      <w:pPr>
        <w:ind w:left="5954"/>
        <w:rPr>
          <w:lang w:val="uk-UA"/>
        </w:rPr>
      </w:pPr>
    </w:p>
    <w:p w:rsidR="00631B3F" w:rsidRPr="00276003" w:rsidRDefault="00631B3F" w:rsidP="00990BD9">
      <w:pPr>
        <w:ind w:left="6372"/>
        <w:rPr>
          <w:lang w:val="uk-UA"/>
        </w:rPr>
      </w:pPr>
    </w:p>
    <w:p w:rsidR="00631B3F" w:rsidRDefault="00631B3F" w:rsidP="00990BD9">
      <w:pPr>
        <w:ind w:left="-120"/>
        <w:jc w:val="center"/>
        <w:rPr>
          <w:b/>
          <w:sz w:val="28"/>
          <w:szCs w:val="28"/>
          <w:lang w:val="uk-UA"/>
        </w:rPr>
      </w:pPr>
      <w:r w:rsidRPr="00276003">
        <w:rPr>
          <w:b/>
          <w:sz w:val="28"/>
          <w:szCs w:val="28"/>
          <w:lang w:val="uk-UA"/>
        </w:rPr>
        <w:t xml:space="preserve">ПРОГРАМОВІ ВИМОГИ </w:t>
      </w:r>
    </w:p>
    <w:p w:rsidR="00183D31" w:rsidRPr="00276003" w:rsidRDefault="00183D31" w:rsidP="00990BD9">
      <w:pPr>
        <w:ind w:left="-12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Pr="00276003">
        <w:rPr>
          <w:sz w:val="28"/>
          <w:szCs w:val="28"/>
          <w:lang w:val="uk-UA"/>
        </w:rPr>
        <w:t xml:space="preserve">дисципліни </w:t>
      </w:r>
      <w:r>
        <w:rPr>
          <w:sz w:val="28"/>
          <w:szCs w:val="28"/>
          <w:lang w:val="uk-UA"/>
        </w:rPr>
        <w:t xml:space="preserve"> за вибором ВНЗ</w:t>
      </w:r>
    </w:p>
    <w:p w:rsidR="00631B3F" w:rsidRPr="00276003" w:rsidRDefault="00631B3F" w:rsidP="00990BD9">
      <w:pPr>
        <w:ind w:left="-120"/>
        <w:jc w:val="center"/>
        <w:rPr>
          <w:b/>
          <w:sz w:val="32"/>
          <w:szCs w:val="32"/>
          <w:lang w:val="uk-UA"/>
        </w:rPr>
      </w:pPr>
      <w:r w:rsidRPr="00276003">
        <w:rPr>
          <w:sz w:val="28"/>
          <w:szCs w:val="28"/>
          <w:lang w:val="uk-UA"/>
        </w:rPr>
        <w:t xml:space="preserve"> </w:t>
      </w:r>
      <w:r w:rsidRPr="00276003">
        <w:rPr>
          <w:b/>
          <w:sz w:val="32"/>
          <w:szCs w:val="32"/>
          <w:lang w:val="uk-UA"/>
        </w:rPr>
        <w:t>„Міжнародний захист прав людини”</w:t>
      </w:r>
    </w:p>
    <w:p w:rsidR="00631B3F" w:rsidRPr="00276003" w:rsidRDefault="00631B3F" w:rsidP="00990BD9">
      <w:pPr>
        <w:ind w:left="-120"/>
        <w:jc w:val="center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для студентів  напряму підготовки 081 Право ОС «Бакалавр»</w:t>
      </w:r>
    </w:p>
    <w:p w:rsidR="00631B3F" w:rsidRPr="00276003" w:rsidRDefault="00631B3F" w:rsidP="00990BD9">
      <w:pPr>
        <w:ind w:left="-120"/>
        <w:jc w:val="center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на  II семестр 20</w:t>
      </w:r>
      <w:r w:rsidR="003F796C">
        <w:rPr>
          <w:sz w:val="28"/>
          <w:szCs w:val="28"/>
          <w:lang w:val="uk-UA"/>
        </w:rPr>
        <w:t>22</w:t>
      </w:r>
      <w:r w:rsidRPr="00276003">
        <w:rPr>
          <w:sz w:val="28"/>
          <w:szCs w:val="28"/>
          <w:lang w:val="uk-UA"/>
        </w:rPr>
        <w:t>-20</w:t>
      </w:r>
      <w:r w:rsidR="00183D31">
        <w:rPr>
          <w:sz w:val="28"/>
          <w:szCs w:val="28"/>
          <w:lang w:val="uk-UA"/>
        </w:rPr>
        <w:t>2</w:t>
      </w:r>
      <w:r w:rsidR="003F796C">
        <w:rPr>
          <w:sz w:val="28"/>
          <w:szCs w:val="28"/>
          <w:lang w:val="uk-UA"/>
        </w:rPr>
        <w:t>3</w:t>
      </w:r>
      <w:bookmarkStart w:id="0" w:name="_GoBack"/>
      <w:bookmarkEnd w:id="0"/>
      <w:r w:rsidRPr="00276003">
        <w:rPr>
          <w:sz w:val="28"/>
          <w:szCs w:val="28"/>
          <w:lang w:val="uk-UA"/>
        </w:rPr>
        <w:t xml:space="preserve"> н. р.</w:t>
      </w:r>
    </w:p>
    <w:p w:rsidR="00631B3F" w:rsidRDefault="00631B3F" w:rsidP="0023700C">
      <w:pPr>
        <w:pStyle w:val="Default"/>
        <w:spacing w:before="100" w:beforeAutospacing="1" w:after="100" w:afterAutospacing="1"/>
        <w:ind w:firstLine="708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276003">
        <w:rPr>
          <w:b/>
          <w:bCs/>
          <w:sz w:val="28"/>
          <w:szCs w:val="28"/>
        </w:rPr>
        <w:t>Загальні положення про права людини</w:t>
      </w:r>
    </w:p>
    <w:p w:rsidR="00631B3F" w:rsidRPr="00276003" w:rsidRDefault="00631B3F" w:rsidP="0023700C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6003">
        <w:rPr>
          <w:sz w:val="28"/>
          <w:szCs w:val="28"/>
        </w:rPr>
        <w:t>Природа та сутність прав людини. Класифікація прав людини. Універсальність прав людини. Захист прав людини в діяльності Ліги Націй</w:t>
      </w:r>
    </w:p>
    <w:p w:rsidR="00631B3F" w:rsidRPr="00276003" w:rsidRDefault="00631B3F" w:rsidP="0023700C">
      <w:pPr>
        <w:pStyle w:val="Default"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631B3F" w:rsidRDefault="00631B3F" w:rsidP="0023700C">
      <w:pPr>
        <w:pStyle w:val="Default"/>
        <w:spacing w:before="100" w:beforeAutospacing="1" w:after="100" w:afterAutospacing="1"/>
        <w:ind w:firstLine="708"/>
        <w:contextualSpacing/>
        <w:jc w:val="both"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Захист прав людини в діяльності ООН</w:t>
      </w:r>
    </w:p>
    <w:p w:rsidR="00631B3F" w:rsidRPr="00276003" w:rsidRDefault="00631B3F" w:rsidP="0023700C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Статут ООН,  Загальна декларація прав людини 1948р. Рада ООН з прав людини. Верховний Комісар ООН з прав людини. Процедура 1503. </w:t>
      </w:r>
    </w:p>
    <w:p w:rsidR="00631B3F" w:rsidRPr="00276003" w:rsidRDefault="00631B3F" w:rsidP="00902464">
      <w:pPr>
        <w:pStyle w:val="Default"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ab/>
        <w:t xml:space="preserve">Міжнародний пакт про громадянські та політичні права 1966р., Комітет по правах людини. </w:t>
      </w:r>
    </w:p>
    <w:p w:rsidR="00631B3F" w:rsidRPr="00276003" w:rsidRDefault="00631B3F" w:rsidP="00902464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Міжнародний пакт про економічні, соціальні та культурні права 1966р.,  Комітет із економічних, соціальних та культурних прав.  </w:t>
      </w:r>
    </w:p>
    <w:p w:rsidR="00631B3F" w:rsidRPr="00276003" w:rsidRDefault="00631B3F" w:rsidP="00902464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Конвен</w:t>
      </w:r>
      <w:r>
        <w:rPr>
          <w:sz w:val="28"/>
          <w:szCs w:val="28"/>
        </w:rPr>
        <w:t>ц</w:t>
      </w:r>
      <w:r w:rsidRPr="00276003">
        <w:rPr>
          <w:sz w:val="28"/>
          <w:szCs w:val="28"/>
        </w:rPr>
        <w:t xml:space="preserve">ія ООН з ліквідації всіх форм дискримінації щодо жінок 1979р. Комітет з ліквідації дискримінації щодо жінок. </w:t>
      </w:r>
    </w:p>
    <w:p w:rsidR="00631B3F" w:rsidRPr="00276003" w:rsidRDefault="00631B3F" w:rsidP="00F34ED0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Конвенція про права дитини 1989р. Комітет з прав дитини. </w:t>
      </w:r>
    </w:p>
    <w:p w:rsidR="00631B3F" w:rsidRPr="00276003" w:rsidRDefault="00631B3F" w:rsidP="00902464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Ко</w:t>
      </w:r>
      <w:r w:rsidR="001C7624">
        <w:rPr>
          <w:sz w:val="28"/>
          <w:szCs w:val="28"/>
        </w:rPr>
        <w:t>н</w:t>
      </w:r>
      <w:r w:rsidRPr="00276003">
        <w:rPr>
          <w:sz w:val="28"/>
          <w:szCs w:val="28"/>
        </w:rPr>
        <w:t xml:space="preserve">венція проти катувань та інших жорстоких, нелюдських або таких, що принижують гідність, видів поводження і покарання 1984р. Комітет проти катувань. </w:t>
      </w:r>
    </w:p>
    <w:p w:rsidR="00631B3F" w:rsidRPr="00276003" w:rsidRDefault="00631B3F" w:rsidP="00F34ED0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Міжнародна конвенція про ліквідацію всіх форм расової дискримінації 1965р. Комітет по ліквідації расової дискримінації.</w:t>
      </w:r>
    </w:p>
    <w:p w:rsidR="00631B3F" w:rsidRPr="00276003" w:rsidRDefault="00631B3F" w:rsidP="00F34ED0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 Конвенція про права осіб з інвалідністю 2006р. Комітет з прав осіб з інвалідністю.</w:t>
      </w:r>
    </w:p>
    <w:p w:rsidR="00631B3F" w:rsidRPr="00276003" w:rsidRDefault="00631B3F" w:rsidP="004C3275">
      <w:pPr>
        <w:pStyle w:val="Default"/>
        <w:spacing w:before="100" w:beforeAutospacing="1" w:after="100" w:afterAutospacing="1"/>
        <w:contextualSpacing/>
        <w:rPr>
          <w:sz w:val="28"/>
          <w:szCs w:val="28"/>
        </w:rPr>
      </w:pPr>
    </w:p>
    <w:p w:rsidR="00631B3F" w:rsidRDefault="00631B3F" w:rsidP="0023700C">
      <w:pPr>
        <w:pStyle w:val="Default"/>
        <w:spacing w:before="100" w:beforeAutospacing="1" w:after="100" w:afterAutospacing="1"/>
        <w:ind w:firstLine="708"/>
        <w:contextualSpacing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Захист прав людини в Європі</w:t>
      </w:r>
    </w:p>
    <w:p w:rsidR="00631B3F" w:rsidRPr="00276003" w:rsidRDefault="00631B3F" w:rsidP="0023700C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Конвенція про захист прав людини та основоположних свобод 1950р.: принципи тлумачення, особливості застосування в національному правопорядку. Європейський суд із прав людини: юрисдикція та процедура звернення. Виконання рішень Європейського суду з прав людини в Україні (справа «Бурмич та інші проти України» №№ 46852/13, 47786/13, 54125/13, рішення Великої палати 2017р.;  справа «Бочан проти України №2» 2015р.).  Закон України «Про виконання рішень та застосування практики  Європейського суду з прав людини» від 23 лютого 2006р.</w:t>
      </w:r>
    </w:p>
    <w:p w:rsidR="00631B3F" w:rsidRPr="00276003" w:rsidRDefault="00631B3F" w:rsidP="00C205E9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Контроль Комітету Міністрів Ради Європи за виконанням рішень Європейського суду з прав людини. Європейська соціальна хартія (переглянута). Захист прав людини в Європейськом</w:t>
      </w:r>
      <w:r>
        <w:rPr>
          <w:sz w:val="28"/>
          <w:szCs w:val="28"/>
        </w:rPr>
        <w:t>у</w:t>
      </w:r>
      <w:r w:rsidRPr="00276003">
        <w:rPr>
          <w:sz w:val="28"/>
          <w:szCs w:val="28"/>
        </w:rPr>
        <w:t xml:space="preserve"> Союзі. Хартія основоположних прав Європейського Союзу 2000р.</w:t>
      </w:r>
    </w:p>
    <w:p w:rsidR="00631B3F" w:rsidRPr="00276003" w:rsidRDefault="00631B3F" w:rsidP="00EE3179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lastRenderedPageBreak/>
        <w:t>Діяльність ОБСЄ  у сфері визначення та просування стандартів захисту прав людини (Бюро з демократичних інс</w:t>
      </w:r>
      <w:r>
        <w:rPr>
          <w:sz w:val="28"/>
          <w:szCs w:val="28"/>
        </w:rPr>
        <w:t>т</w:t>
      </w:r>
      <w:r w:rsidRPr="00276003">
        <w:rPr>
          <w:sz w:val="28"/>
          <w:szCs w:val="28"/>
        </w:rPr>
        <w:t>итутів і прав людини ОБСЄ, Верховний  Комісар ОБСЄ у справах національних меншин)</w:t>
      </w:r>
    </w:p>
    <w:p w:rsidR="00631B3F" w:rsidRPr="00276003" w:rsidRDefault="00631B3F" w:rsidP="00EE3179">
      <w:pPr>
        <w:ind w:firstLine="708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Інші регіональні системи захисту прав людини</w:t>
      </w:r>
    </w:p>
    <w:p w:rsidR="00631B3F" w:rsidRPr="00276003" w:rsidRDefault="00631B3F" w:rsidP="00EE3179">
      <w:pPr>
        <w:ind w:firstLine="709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Міжамериканська система захисту прав людини. Африканська система захисту прав людини. Субрегіональні системи захисту прав людини в Африці. Арабська система захисту прав людини . Захист прав людини в рамках АСЕАН (Асоціація держав Південно-Східної Азії).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Право на життя</w:t>
      </w:r>
    </w:p>
    <w:p w:rsidR="00631B3F" w:rsidRPr="00276003" w:rsidRDefault="00631B3F" w:rsidP="00EE3179">
      <w:pPr>
        <w:ind w:firstLine="709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Обсяг та складові права на життя. Зобов’язання держави щодо права на життя. </w:t>
      </w:r>
    </w:p>
    <w:p w:rsidR="00631B3F" w:rsidRPr="00276003" w:rsidRDefault="00631B3F" w:rsidP="00EE3179">
      <w:pPr>
        <w:ind w:firstLine="709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Практика Європейського суду з прав людини щодо права на життя (справа «Макканн та інші проти Сполученого Королівства 1995р», №18984/91, рішення Великої палати 1995р.; «Лопеш де Соуза Фернандеш проти Португалії» №56080/13, рішення Великої палати 2017р.) </w:t>
      </w:r>
    </w:p>
    <w:p w:rsidR="00631B3F" w:rsidRPr="00276003" w:rsidRDefault="00631B3F" w:rsidP="00EE3179">
      <w:pPr>
        <w:pStyle w:val="Default"/>
        <w:spacing w:before="100" w:beforeAutospacing="1" w:after="100" w:afterAutospacing="1"/>
        <w:ind w:firstLine="709"/>
        <w:contextualSpacing/>
        <w:jc w:val="both"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Заборона катувань, нелюдських або таких, що принижують гідність, видів поводження чи покарання</w:t>
      </w:r>
    </w:p>
    <w:p w:rsidR="00631B3F" w:rsidRPr="00276003" w:rsidRDefault="00631B3F" w:rsidP="003820F3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Обсяг та складові заборони катувань, нелюдських або таких, що принижують гідність, видів поводження чи покарання. Зобов’язання держави щодо заборони катувань, нелюдських або таких, що принижують гідність, видів поводження чи покарання.</w:t>
      </w:r>
    </w:p>
    <w:p w:rsidR="00631B3F" w:rsidRPr="00276003" w:rsidRDefault="00631B3F" w:rsidP="003820F3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 Практика Європейського суду з прав людини щодо заборони катувань, нелюдських або таких, що принижують гідність, видів поводження чи покарання (справа «Сорінг проти Сполученого Королівства», № 14038/88, 1989р.; справ «Гефген проти Німеччини» №22978/05, рішення Великої палати 2010р.; справа «Каверзін проти України, №23893/03, 2012 р.) </w:t>
      </w:r>
    </w:p>
    <w:p w:rsidR="00631B3F" w:rsidRPr="00276003" w:rsidRDefault="00631B3F" w:rsidP="00EE3179">
      <w:pPr>
        <w:pStyle w:val="Default"/>
        <w:spacing w:before="100" w:beforeAutospacing="1" w:after="100" w:afterAutospacing="1"/>
        <w:ind w:firstLine="709"/>
        <w:contextualSpacing/>
        <w:jc w:val="both"/>
      </w:pPr>
    </w:p>
    <w:p w:rsidR="00631B3F" w:rsidRPr="00276003" w:rsidRDefault="00631B3F" w:rsidP="003820F3">
      <w:pPr>
        <w:pStyle w:val="Default"/>
        <w:spacing w:before="100" w:beforeAutospacing="1" w:after="100" w:afterAutospacing="1"/>
        <w:ind w:firstLine="709"/>
        <w:contextualSpacing/>
        <w:jc w:val="both"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Право на свободу та особисту недоторканність</w:t>
      </w:r>
    </w:p>
    <w:p w:rsidR="00631B3F" w:rsidRPr="00276003" w:rsidRDefault="00631B3F" w:rsidP="003820F3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Обсяг та складові права на свободу та особисту недоторканність. Зобов’язання держави щодо права на свободу та особисту недоторканність. Практика Європейського суду з прав людини щодо права на свободу та особисту недоторканність (справа «Харченко проти України», № 40107/02, 2011р; справа «Остін та інші проти Сполученого Королівства» № 39692/09, рішення Великої палати 2012 р.)</w:t>
      </w:r>
    </w:p>
    <w:p w:rsidR="00631B3F" w:rsidRPr="00276003" w:rsidRDefault="00631B3F" w:rsidP="003820F3">
      <w:pPr>
        <w:pStyle w:val="Default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631B3F" w:rsidRPr="00276003" w:rsidRDefault="00631B3F" w:rsidP="0089176D">
      <w:pPr>
        <w:pStyle w:val="Default"/>
        <w:spacing w:before="100" w:beforeAutospacing="1" w:after="100" w:afterAutospacing="1"/>
        <w:ind w:firstLine="708"/>
        <w:contextualSpacing/>
        <w:jc w:val="both"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Право на повагу до приватного і сімейного життя, житла та кореспонденції</w:t>
      </w:r>
    </w:p>
    <w:p w:rsidR="00631B3F" w:rsidRPr="00276003" w:rsidRDefault="00631B3F" w:rsidP="0089176D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b/>
          <w:bCs/>
          <w:sz w:val="28"/>
          <w:szCs w:val="28"/>
        </w:rPr>
        <w:t xml:space="preserve"> </w:t>
      </w:r>
      <w:r w:rsidRPr="00276003">
        <w:rPr>
          <w:sz w:val="28"/>
          <w:szCs w:val="28"/>
        </w:rPr>
        <w:t>Обсяг та складові права на повагу до приватного й сімейного життя, житла та кореспонденції. Зобов’язання держави щодо права на повагу до приватного й сімейного життя, житла та кореспонденції.</w:t>
      </w:r>
    </w:p>
    <w:p w:rsidR="00631B3F" w:rsidRPr="00276003" w:rsidRDefault="00631B3F" w:rsidP="0089176D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 Практика Європейського суду з прав людини щодо права на повагу до приватного життя ( справа «С. і Марпер проти Сполученого Королівства», №№ </w:t>
      </w:r>
      <w:r w:rsidRPr="00276003">
        <w:rPr>
          <w:sz w:val="28"/>
          <w:szCs w:val="28"/>
        </w:rPr>
        <w:lastRenderedPageBreak/>
        <w:t xml:space="preserve">30562/04; 30566/04, рішення Великої палати 2008р.; Справа «Денісов проти України», № 76639/11, рішення Великої палати 2018р.). </w:t>
      </w:r>
    </w:p>
    <w:p w:rsidR="00631B3F" w:rsidRPr="00276003" w:rsidRDefault="00631B3F" w:rsidP="0089176D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Практика Європейського суду з прав людини щодо права на повагу до сімейного життя ( справа «Савіни проти України» № 39948/06, 2008 р.; «М.Р. і Д.Р. проти України» № 63551/13, 2018р.).</w:t>
      </w:r>
    </w:p>
    <w:p w:rsidR="00631B3F" w:rsidRPr="00276003" w:rsidRDefault="00631B3F" w:rsidP="00C205E9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Практика Європейського суду з прав людини щодо права на повагу до житла (справа «Німіц проти Німеччини, № 13710/88, 1992р.; справа «Кривіцька та Кривіцький проти України» №30856/03, 2011р.).</w:t>
      </w:r>
    </w:p>
    <w:p w:rsidR="00631B3F" w:rsidRPr="00276003" w:rsidRDefault="00631B3F" w:rsidP="00A24F38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Практика Європейського суду з прав людини щодо права на повагу до кореспонденції (справа «Роман Захаров проти Росії» №47143/06, рішення Великої палати 2015р; справа «Барбулеску проти Румунії» № 61496/08, рішення Великої палати 2017 р.)</w:t>
      </w: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Свобода думки, совісті та релігії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Обсяг та складові права на свободу думки, совісті та релігії. Зобов’язання держави щодо права на свободу думки, совісті та релігії. </w:t>
      </w:r>
    </w:p>
    <w:p w:rsidR="00631B3F" w:rsidRPr="00276003" w:rsidRDefault="00631B3F" w:rsidP="00A24F38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Практика Європейського суду з прав людини щодо права на свободу думки, совісті та релігії (справа  «Коккінакіс проти Греції» № 14307/88, 1993р.; справа «С.А.С. проти Франції» №43835/11, рішення Великої палати 2014р.; справа «Евейда та інші проти Сполученого Королівства» №№ 48420/10, 59842/10, 51671/10, 36516/10, 2013р.)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Свобода вираження поглядів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Обсяг та складові права на свободу вираження поглядів. Зобов’язання держави щодо права на свободу вираження поглядів. </w:t>
      </w:r>
    </w:p>
    <w:p w:rsidR="00631B3F" w:rsidRPr="00276003" w:rsidRDefault="00631B3F" w:rsidP="00A24F38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Практика Європейського суду з прав людини щодо права на свободу вираження поглядів (справа «Лінгенс проти Австрії» № 9815/82, 1986р.; справа «Угорський Гельсінсьий Комітет проти Угорщини» №18030/11, рішення Великої палати 2016р; справа « Аксель Шпрінгер АГ проти Німеччини» № 39954/08, рішення Великої палати 2012 р.)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Свобода зібрань та об’єднання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Обсяг та складові права на свободу зібрань та об’єднання. Зобов’язання держави щодо права на свободу зібрань та об’єднання.</w:t>
      </w:r>
    </w:p>
    <w:p w:rsidR="00631B3F" w:rsidRPr="00276003" w:rsidRDefault="00631B3F" w:rsidP="002E0441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 Практика Європейського суду з прав людини щодо права на свободу зібрань та об’єднання (справа «Веніамін Тимошенко та інші проти України» № 48408/12, 2014р.; справа « Букта та інші проти Угорщини», № 25691/04, 2007 р.; справа « Баранкевич проти Росії» , №10519/03 2007 р.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Право на власність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Обсяг та складові права на власність. Зобов’язання держави щодо права на власність. </w:t>
      </w:r>
    </w:p>
    <w:p w:rsidR="00631B3F" w:rsidRPr="00276003" w:rsidRDefault="00631B3F" w:rsidP="00C205E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Практика Європейського суду з прав людини щодо права на власність (справа «Спо</w:t>
      </w:r>
      <w:r>
        <w:rPr>
          <w:sz w:val="28"/>
          <w:szCs w:val="28"/>
          <w:lang w:val="uk-UA"/>
        </w:rPr>
        <w:t>р</w:t>
      </w:r>
      <w:r w:rsidRPr="00276003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</w:t>
      </w:r>
      <w:r w:rsidRPr="00276003">
        <w:rPr>
          <w:sz w:val="28"/>
          <w:szCs w:val="28"/>
          <w:lang w:val="uk-UA"/>
        </w:rPr>
        <w:t xml:space="preserve">нг і Льоннрот проти Швеції», №№ 7151/75, 7152/75, 1982р.; справа  «Луїзіду проти Туреччини», № 15318/89, рішення Великої палати </w:t>
      </w:r>
      <w:r w:rsidRPr="00276003">
        <w:rPr>
          <w:sz w:val="28"/>
          <w:szCs w:val="28"/>
          <w:lang w:val="uk-UA"/>
        </w:rPr>
        <w:lastRenderedPageBreak/>
        <w:t>1996р.; справа «Фонд</w:t>
      </w:r>
      <w:r w:rsidR="001C7624">
        <w:rPr>
          <w:sz w:val="28"/>
          <w:szCs w:val="28"/>
          <w:lang w:val="uk-UA"/>
        </w:rPr>
        <w:t xml:space="preserve"> </w:t>
      </w:r>
      <w:r w:rsidRPr="00276003">
        <w:rPr>
          <w:sz w:val="28"/>
          <w:szCs w:val="28"/>
          <w:lang w:val="uk-UA"/>
        </w:rPr>
        <w:t xml:space="preserve">«Батьківська турбота» проти України», № 5876/15, 2018р.) 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Заборона дискримінації</w:t>
      </w:r>
    </w:p>
    <w:p w:rsidR="00631B3F" w:rsidRPr="00276003" w:rsidRDefault="00631B3F" w:rsidP="00EE3179">
      <w:pPr>
        <w:ind w:firstLine="709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Обсяг та складові заборони дискримінації. Зобов’язання держави щодо заборони дискримінації.</w:t>
      </w:r>
    </w:p>
    <w:p w:rsidR="00631B3F" w:rsidRPr="00276003" w:rsidRDefault="00631B3F" w:rsidP="00C205E9">
      <w:pPr>
        <w:ind w:firstLine="709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 xml:space="preserve"> Практика Європейського суду з прав людини щодо заборони дискримінації (справа «Пічкур проти України», № 10441/06, 2013р.;</w:t>
      </w:r>
      <w:r>
        <w:rPr>
          <w:sz w:val="28"/>
          <w:szCs w:val="28"/>
          <w:lang w:val="uk-UA"/>
        </w:rPr>
        <w:t xml:space="preserve"> </w:t>
      </w:r>
      <w:r w:rsidRPr="00276003">
        <w:rPr>
          <w:sz w:val="28"/>
          <w:szCs w:val="28"/>
          <w:lang w:val="uk-UA"/>
        </w:rPr>
        <w:t>справа « Д.Н. та інші проти Чеської Республіки», №57325/00, рішення Великої палати 2007 р.)</w:t>
      </w:r>
    </w:p>
    <w:p w:rsidR="00631B3F" w:rsidRPr="00276003" w:rsidRDefault="00631B3F" w:rsidP="00C205E9">
      <w:pPr>
        <w:pStyle w:val="Default"/>
        <w:spacing w:before="100" w:beforeAutospacing="1" w:after="100" w:afterAutospacing="1"/>
        <w:ind w:firstLine="708"/>
        <w:contextualSpacing/>
        <w:jc w:val="both"/>
        <w:rPr>
          <w:b/>
          <w:bCs/>
          <w:sz w:val="28"/>
          <w:szCs w:val="28"/>
        </w:rPr>
      </w:pPr>
      <w:r w:rsidRPr="00276003">
        <w:rPr>
          <w:b/>
          <w:bCs/>
          <w:sz w:val="28"/>
          <w:szCs w:val="28"/>
        </w:rPr>
        <w:t>Право на справедливи</w:t>
      </w:r>
      <w:r>
        <w:rPr>
          <w:b/>
          <w:bCs/>
          <w:sz w:val="28"/>
          <w:szCs w:val="28"/>
        </w:rPr>
        <w:t>й</w:t>
      </w:r>
      <w:r w:rsidRPr="00276003">
        <w:rPr>
          <w:b/>
          <w:bCs/>
          <w:sz w:val="28"/>
          <w:szCs w:val="28"/>
        </w:rPr>
        <w:t xml:space="preserve"> суд та на ефективний засіб юридичного захисту</w:t>
      </w:r>
    </w:p>
    <w:p w:rsidR="00631B3F" w:rsidRPr="00276003" w:rsidRDefault="00631B3F" w:rsidP="00C205E9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>Обсяг та складові права на справедливий суд та на ефективний засіб юридичного захисту. Зобов’язання держави щодо права на справедливи</w:t>
      </w:r>
      <w:r>
        <w:rPr>
          <w:sz w:val="28"/>
          <w:szCs w:val="28"/>
        </w:rPr>
        <w:t>й</w:t>
      </w:r>
      <w:r w:rsidRPr="00276003">
        <w:rPr>
          <w:sz w:val="28"/>
          <w:szCs w:val="28"/>
        </w:rPr>
        <w:t xml:space="preserve"> суд та на ефективний засіб юридичного захисту.</w:t>
      </w:r>
    </w:p>
    <w:p w:rsidR="00631B3F" w:rsidRPr="00276003" w:rsidRDefault="00631B3F" w:rsidP="00276003">
      <w:pPr>
        <w:pStyle w:val="Default"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76003">
        <w:rPr>
          <w:sz w:val="28"/>
          <w:szCs w:val="28"/>
        </w:rPr>
        <w:t xml:space="preserve"> Практика Європейського суду з прав людини щодо права на справедливий суд та на ефективний засіб юридичного захисту (справа «Олександр Волков проти України», № 21722/11, рішення Великої палати  2013 р.; справа «Бурмич та інші проти України», №№46852/13, 47786/13. 54125/13, рішення Великої палати 2017р.)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Правомірне обмеження прав людини та відступ держав від своїх зобов’язань у сфері прав людини під час надзвичайного стану, становища або ситуацій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Правомірне обмеження прав людини. Відступ держави від своїх зобов’язань у сфері прав людини за надзвичайних станів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E317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276003">
        <w:rPr>
          <w:b/>
          <w:bCs/>
          <w:sz w:val="28"/>
          <w:szCs w:val="28"/>
          <w:lang w:val="uk-UA"/>
        </w:rPr>
        <w:t>Міжнародний захист  прав людини під час збройних конфліктів</w:t>
      </w:r>
    </w:p>
    <w:p w:rsidR="00631B3F" w:rsidRPr="00276003" w:rsidRDefault="00631B3F" w:rsidP="00C205E9">
      <w:pPr>
        <w:ind w:firstLine="708"/>
        <w:jc w:val="both"/>
        <w:rPr>
          <w:sz w:val="28"/>
          <w:szCs w:val="28"/>
          <w:lang w:val="uk-UA"/>
        </w:rPr>
      </w:pPr>
      <w:r w:rsidRPr="00276003">
        <w:rPr>
          <w:sz w:val="28"/>
          <w:szCs w:val="28"/>
          <w:lang w:val="uk-UA"/>
        </w:rPr>
        <w:t>Застосування міжнародних стандар</w:t>
      </w:r>
      <w:r>
        <w:rPr>
          <w:sz w:val="28"/>
          <w:szCs w:val="28"/>
          <w:lang w:val="uk-UA"/>
        </w:rPr>
        <w:t>т</w:t>
      </w:r>
      <w:r w:rsidRPr="00276003">
        <w:rPr>
          <w:sz w:val="28"/>
          <w:szCs w:val="28"/>
          <w:lang w:val="uk-UA"/>
        </w:rPr>
        <w:t>ів прав людини у період збройних конфліктів.</w:t>
      </w:r>
      <w:r>
        <w:rPr>
          <w:sz w:val="28"/>
          <w:szCs w:val="28"/>
          <w:lang w:val="uk-UA"/>
        </w:rPr>
        <w:t xml:space="preserve"> </w:t>
      </w:r>
      <w:r w:rsidRPr="00276003">
        <w:rPr>
          <w:sz w:val="28"/>
          <w:szCs w:val="28"/>
          <w:lang w:val="uk-UA"/>
        </w:rPr>
        <w:t>Захист поранених і хворих у діючих арміях. Захист поранених, хворих та осіб</w:t>
      </w:r>
      <w:r w:rsidR="001C7624">
        <w:rPr>
          <w:sz w:val="28"/>
          <w:szCs w:val="28"/>
          <w:lang w:val="uk-UA"/>
        </w:rPr>
        <w:t>,</w:t>
      </w:r>
      <w:r w:rsidRPr="00276003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276003">
        <w:rPr>
          <w:sz w:val="28"/>
          <w:szCs w:val="28"/>
          <w:lang w:val="uk-UA"/>
        </w:rPr>
        <w:t xml:space="preserve"> зазнали корабельної аварії, зі складу зб</w:t>
      </w:r>
      <w:r>
        <w:rPr>
          <w:sz w:val="28"/>
          <w:szCs w:val="28"/>
          <w:lang w:val="uk-UA"/>
        </w:rPr>
        <w:t>р</w:t>
      </w:r>
      <w:r w:rsidRPr="00276003">
        <w:rPr>
          <w:sz w:val="28"/>
          <w:szCs w:val="28"/>
          <w:lang w:val="uk-UA"/>
        </w:rPr>
        <w:t xml:space="preserve">ойних сил на морі. Захист військовополонених. Захист  цивільного населення під час війни. Захист жінок та дітей під час війни. </w:t>
      </w:r>
    </w:p>
    <w:p w:rsidR="00631B3F" w:rsidRPr="00276003" w:rsidRDefault="00631B3F" w:rsidP="00EE3179">
      <w:pPr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90246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11164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631B3F" w:rsidRPr="00276003" w:rsidRDefault="00631B3F" w:rsidP="00E37D46">
      <w:pPr>
        <w:rPr>
          <w:b/>
          <w:sz w:val="28"/>
          <w:szCs w:val="28"/>
          <w:lang w:val="uk-UA"/>
        </w:rPr>
      </w:pPr>
      <w:r w:rsidRPr="00276003">
        <w:rPr>
          <w:b/>
          <w:sz w:val="28"/>
          <w:szCs w:val="28"/>
          <w:lang w:val="uk-UA"/>
        </w:rPr>
        <w:t>Керівник курсу</w:t>
      </w:r>
    </w:p>
    <w:p w:rsidR="00631B3F" w:rsidRPr="00276003" w:rsidRDefault="00631B3F" w:rsidP="00E37D46">
      <w:pPr>
        <w:rPr>
          <w:sz w:val="28"/>
          <w:szCs w:val="28"/>
          <w:lang w:val="uk-UA"/>
        </w:rPr>
      </w:pPr>
      <w:r w:rsidRPr="00276003">
        <w:rPr>
          <w:bCs/>
          <w:sz w:val="28"/>
          <w:szCs w:val="28"/>
          <w:lang w:val="uk-UA"/>
        </w:rPr>
        <w:t xml:space="preserve">Ст. викладач                                                                                          Кульчак Л.С.  </w:t>
      </w:r>
    </w:p>
    <w:p w:rsidR="00631B3F" w:rsidRPr="00276003" w:rsidRDefault="00631B3F" w:rsidP="0011164C">
      <w:pPr>
        <w:spacing w:line="360" w:lineRule="auto"/>
        <w:ind w:firstLine="708"/>
        <w:jc w:val="both"/>
        <w:rPr>
          <w:b/>
          <w:bCs/>
          <w:sz w:val="28"/>
          <w:szCs w:val="28"/>
          <w:lang w:val="uk-UA"/>
        </w:rPr>
      </w:pPr>
    </w:p>
    <w:sectPr w:rsidR="00631B3F" w:rsidRPr="00276003" w:rsidSect="00A45014">
      <w:headerReference w:type="default" r:id="rId6"/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AA" w:rsidRDefault="007907AA" w:rsidP="00A45014">
      <w:r>
        <w:separator/>
      </w:r>
    </w:p>
  </w:endnote>
  <w:endnote w:type="continuationSeparator" w:id="0">
    <w:p w:rsidR="007907AA" w:rsidRDefault="007907AA" w:rsidP="00A4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AA" w:rsidRDefault="007907AA" w:rsidP="00A45014">
      <w:r>
        <w:separator/>
      </w:r>
    </w:p>
  </w:footnote>
  <w:footnote w:type="continuationSeparator" w:id="0">
    <w:p w:rsidR="007907AA" w:rsidRDefault="007907AA" w:rsidP="00A45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B3F" w:rsidRDefault="00C146AC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96C">
      <w:rPr>
        <w:noProof/>
      </w:rPr>
      <w:t>1</w:t>
    </w:r>
    <w:r>
      <w:rPr>
        <w:noProof/>
      </w:rPr>
      <w:fldChar w:fldCharType="end"/>
    </w:r>
  </w:p>
  <w:p w:rsidR="00631B3F" w:rsidRDefault="00631B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924"/>
    <w:rsid w:val="0003158B"/>
    <w:rsid w:val="000321BF"/>
    <w:rsid w:val="00050F79"/>
    <w:rsid w:val="00053C08"/>
    <w:rsid w:val="00092BEC"/>
    <w:rsid w:val="0011164C"/>
    <w:rsid w:val="00183D31"/>
    <w:rsid w:val="00192F03"/>
    <w:rsid w:val="001C7624"/>
    <w:rsid w:val="001F1350"/>
    <w:rsid w:val="0023700C"/>
    <w:rsid w:val="00240361"/>
    <w:rsid w:val="00276003"/>
    <w:rsid w:val="002B35FB"/>
    <w:rsid w:val="002E0441"/>
    <w:rsid w:val="0030720B"/>
    <w:rsid w:val="0033113B"/>
    <w:rsid w:val="003322E9"/>
    <w:rsid w:val="00375164"/>
    <w:rsid w:val="003820F3"/>
    <w:rsid w:val="003F796C"/>
    <w:rsid w:val="004103DD"/>
    <w:rsid w:val="00436016"/>
    <w:rsid w:val="004A0FFF"/>
    <w:rsid w:val="004C3275"/>
    <w:rsid w:val="004C7A5F"/>
    <w:rsid w:val="00500F8D"/>
    <w:rsid w:val="005027A1"/>
    <w:rsid w:val="0056177E"/>
    <w:rsid w:val="00571D97"/>
    <w:rsid w:val="0059063C"/>
    <w:rsid w:val="00631B3F"/>
    <w:rsid w:val="00632749"/>
    <w:rsid w:val="00647CC1"/>
    <w:rsid w:val="00657854"/>
    <w:rsid w:val="00675DCB"/>
    <w:rsid w:val="00706924"/>
    <w:rsid w:val="00773096"/>
    <w:rsid w:val="007907AA"/>
    <w:rsid w:val="007A2AE4"/>
    <w:rsid w:val="007E17E7"/>
    <w:rsid w:val="0085448D"/>
    <w:rsid w:val="0089176D"/>
    <w:rsid w:val="008A7B22"/>
    <w:rsid w:val="008E2096"/>
    <w:rsid w:val="00902464"/>
    <w:rsid w:val="00990BD9"/>
    <w:rsid w:val="00A24F38"/>
    <w:rsid w:val="00A45014"/>
    <w:rsid w:val="00A64818"/>
    <w:rsid w:val="00AC48DB"/>
    <w:rsid w:val="00C146AC"/>
    <w:rsid w:val="00C205E9"/>
    <w:rsid w:val="00C6718B"/>
    <w:rsid w:val="00C9019F"/>
    <w:rsid w:val="00CE33ED"/>
    <w:rsid w:val="00CF02DE"/>
    <w:rsid w:val="00D17D6F"/>
    <w:rsid w:val="00D254C5"/>
    <w:rsid w:val="00D47743"/>
    <w:rsid w:val="00DE64A2"/>
    <w:rsid w:val="00E37D46"/>
    <w:rsid w:val="00ED0CDE"/>
    <w:rsid w:val="00EE3179"/>
    <w:rsid w:val="00F34ED0"/>
    <w:rsid w:val="00F66AE2"/>
    <w:rsid w:val="00FA232B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95BB3E-6B44-44AD-AC0E-F34A0893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B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069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character" w:styleId="a3">
    <w:name w:val="Subtle Emphasis"/>
    <w:uiPriority w:val="99"/>
    <w:qFormat/>
    <w:rsid w:val="00706924"/>
    <w:rPr>
      <w:rFonts w:cs="Times New Roman"/>
      <w:i/>
      <w:iCs/>
      <w:color w:val="808080"/>
    </w:rPr>
  </w:style>
  <w:style w:type="paragraph" w:styleId="a4">
    <w:name w:val="header"/>
    <w:basedOn w:val="a"/>
    <w:link w:val="a5"/>
    <w:uiPriority w:val="99"/>
    <w:rsid w:val="00A4501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A45014"/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rsid w:val="00A4501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45014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1291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2019-03-30T13:18:00Z</cp:lastPrinted>
  <dcterms:created xsi:type="dcterms:W3CDTF">2019-03-30T04:27:00Z</dcterms:created>
  <dcterms:modified xsi:type="dcterms:W3CDTF">2022-10-24T11:38:00Z</dcterms:modified>
</cp:coreProperties>
</file>