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592A46F" w:rsidR="00395013" w:rsidRPr="007A130B" w:rsidRDefault="006564D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ПРАВ І СВОБОД ЛЮДИНИ І ГРОМАДЯНИНА В ЄВРОПЕЙСЬКОМУ СУДІ З ПРАВ ЛЮДИНИ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1F3F1251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15640D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33E33301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15640D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7838B78B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52393D">
        <w:rPr>
          <w:sz w:val="28"/>
          <w:szCs w:val="28"/>
          <w:lang w:val="uk-UA"/>
        </w:rPr>
        <w:t xml:space="preserve">1 </w:t>
      </w:r>
      <w:r w:rsidR="002478D7" w:rsidRPr="007A130B">
        <w:rPr>
          <w:sz w:val="28"/>
          <w:szCs w:val="28"/>
          <w:lang w:val="uk-UA"/>
        </w:rPr>
        <w:t xml:space="preserve"> </w:t>
      </w:r>
      <w:r w:rsidR="0052393D">
        <w:rPr>
          <w:sz w:val="28"/>
          <w:szCs w:val="28"/>
          <w:lang w:val="uk-UA"/>
        </w:rPr>
        <w:t>від 31 серпня 2021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75ECF377" w14:textId="55310D03" w:rsidR="00395013" w:rsidRPr="006564DD" w:rsidRDefault="00395013" w:rsidP="006564DD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52393D">
        <w:rPr>
          <w:sz w:val="28"/>
          <w:szCs w:val="28"/>
          <w:lang w:val="uk-UA"/>
        </w:rPr>
        <w:t>Івано-Франківськ - 2021</w:t>
      </w:r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3BB37AFE" w:rsidR="002C2330" w:rsidRPr="00407EF3" w:rsidRDefault="0015640D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407EF3" w:rsidRPr="00407EF3">
              <w:rPr>
                <w:b/>
                <w:lang w:val="uk-UA"/>
              </w:rPr>
              <w:t>ахист прав і свобод людини і громадянина в ЄСПЛ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7A130B" w:rsidRDefault="007607F9" w:rsidP="00F2163F">
            <w:pPr>
              <w:jc w:val="both"/>
              <w:rPr>
                <w:lang w:val="uk-UA"/>
              </w:rPr>
            </w:pPr>
            <w:r w:rsidRPr="007A130B">
              <w:rPr>
                <w:lang w:val="en-US"/>
              </w:rPr>
              <w:t>3</w:t>
            </w:r>
            <w:r w:rsidR="000E60F3" w:rsidRPr="007A130B">
              <w:rPr>
                <w:lang w:val="uk-UA"/>
              </w:rPr>
              <w:t xml:space="preserve"> кредит</w:t>
            </w:r>
            <w:r w:rsidR="00F2163F" w:rsidRPr="007A130B">
              <w:rPr>
                <w:lang w:val="uk-UA"/>
              </w:rPr>
              <w:t>и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 w:rsidRPr="007A130B">
              <w:rPr>
                <w:lang w:val="en-US"/>
              </w:rPr>
              <w:t>90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15640D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52393D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184E50DE" w:rsidR="00BF5CE4" w:rsidRPr="007A130B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</w:t>
            </w:r>
            <w:r w:rsidR="005E0AD3" w:rsidRPr="007A130B">
              <w:rPr>
                <w:lang w:val="uk-UA"/>
              </w:rPr>
              <w:t xml:space="preserve">прецедентна </w:t>
            </w:r>
            <w:r w:rsidR="005E0AD3" w:rsidRPr="007A130B">
              <w:rPr>
                <w:rFonts w:eastAsia="TimesNewRomanPSMT"/>
                <w:lang w:val="uk-UA"/>
              </w:rPr>
              <w:t xml:space="preserve">практика </w:t>
            </w:r>
            <w:r w:rsidR="005E0AD3"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="00BF5CE4" w:rsidRPr="007A130B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7A130B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7A130B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7A130B">
              <w:rPr>
                <w:rFonts w:eastAsia="TimesNewRomanPSMT"/>
                <w:lang w:val="uk-UA"/>
              </w:rPr>
              <w:t xml:space="preserve">приватних та </w:t>
            </w:r>
            <w:r w:rsidR="00BF5CE4" w:rsidRPr="007A130B">
              <w:rPr>
                <w:rFonts w:eastAsia="TimesNewRomanPSMT"/>
                <w:lang w:val="uk-UA"/>
              </w:rPr>
              <w:t>публічних правовідносин</w:t>
            </w:r>
            <w:r w:rsidR="005E0AD3" w:rsidRPr="007A130B">
              <w:rPr>
                <w:rFonts w:eastAsia="TimesNewRomanPSMT"/>
                <w:lang w:val="uk-UA"/>
              </w:rPr>
              <w:t xml:space="preserve"> на підставі рішень ЄСПЛ</w:t>
            </w:r>
            <w:r w:rsidR="00BF5CE4" w:rsidRPr="007A130B">
              <w:rPr>
                <w:rFonts w:eastAsia="TimesNewRomanPSMT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14:paraId="432236B1" w14:textId="77777777" w:rsidR="004764AE" w:rsidRPr="007A130B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09E2B9D1" w14:textId="77777777" w:rsidR="00CB1E3F" w:rsidRPr="007A130B" w:rsidRDefault="00CB1E3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6AEF9C69" w14:textId="05505744" w:rsidR="005E0AD3" w:rsidRPr="007A130B" w:rsidRDefault="005E0AD3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569D35BE" w14:textId="619E8E6C" w:rsidR="00D53D2E" w:rsidRPr="007A130B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</w:t>
            </w:r>
            <w:r w:rsidR="00D53D2E" w:rsidRPr="007A130B">
              <w:rPr>
                <w:bCs/>
                <w:color w:val="000000"/>
                <w:lang w:val="uk-UA"/>
              </w:rPr>
              <w:t xml:space="preserve">   </w:t>
            </w:r>
            <w:r w:rsidR="00D53D2E" w:rsidRPr="007A130B">
              <w:rPr>
                <w:szCs w:val="20"/>
                <w:lang w:val="uk-UA"/>
              </w:rPr>
              <w:t>Навчальна дисципліна «</w:t>
            </w:r>
            <w:r w:rsidR="0015640D">
              <w:rPr>
                <w:szCs w:val="20"/>
                <w:lang w:val="uk-UA"/>
              </w:rPr>
              <w:t>З</w:t>
            </w:r>
            <w:r w:rsidR="00407EF3">
              <w:rPr>
                <w:szCs w:val="20"/>
                <w:lang w:val="uk-UA"/>
              </w:rPr>
              <w:t>ахист прав і свобод людини і громадянина в ЄСПЛ</w:t>
            </w:r>
            <w:r w:rsidR="00D53D2E" w:rsidRPr="007A130B">
              <w:rPr>
                <w:szCs w:val="20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5E0AD3" w:rsidRPr="007A130B">
              <w:rPr>
                <w:szCs w:val="20"/>
                <w:lang w:val="uk-UA"/>
              </w:rPr>
              <w:t>застосування рішень ЄСПЛ</w:t>
            </w:r>
            <w:r w:rsidR="00D53D2E" w:rsidRPr="007A130B">
              <w:rPr>
                <w:szCs w:val="20"/>
                <w:lang w:val="uk-UA"/>
              </w:rPr>
              <w:t xml:space="preserve"> як гарантії судового захисту прав, свобод та законних інте</w:t>
            </w:r>
            <w:r w:rsidR="005E0AD3" w:rsidRPr="007A130B">
              <w:rPr>
                <w:szCs w:val="20"/>
                <w:lang w:val="uk-UA"/>
              </w:rPr>
              <w:t>ресів фізичних і юридичних осіб</w:t>
            </w:r>
            <w:r w:rsidR="00D53D2E" w:rsidRPr="007A130B">
              <w:rPr>
                <w:szCs w:val="20"/>
                <w:lang w:val="uk-UA"/>
              </w:rPr>
              <w:t>.</w:t>
            </w:r>
          </w:p>
          <w:p w14:paraId="198DCD7F" w14:textId="5072AD05" w:rsidR="00C17225" w:rsidRPr="007A130B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</w:t>
            </w:r>
            <w:r w:rsidR="003B56A1" w:rsidRPr="007A130B">
              <w:rPr>
                <w:szCs w:val="20"/>
                <w:lang w:val="uk-UA"/>
              </w:rPr>
              <w:t>Основними джерелами цієї галузі</w:t>
            </w:r>
            <w:r w:rsidRPr="007A130B">
              <w:rPr>
                <w:szCs w:val="20"/>
                <w:lang w:val="uk-UA"/>
              </w:rPr>
              <w:t xml:space="preserve"> права</w:t>
            </w:r>
            <w:r w:rsidR="003B56A1" w:rsidRPr="007A130B">
              <w:rPr>
                <w:szCs w:val="20"/>
                <w:lang w:val="uk-UA"/>
              </w:rPr>
              <w:t xml:space="preserve"> виступають </w:t>
            </w:r>
            <w:r w:rsidR="005E0AD3" w:rsidRPr="007A130B">
              <w:rPr>
                <w:szCs w:val="20"/>
                <w:lang w:val="uk-UA"/>
              </w:rPr>
              <w:t>Європейська</w:t>
            </w:r>
            <w:r w:rsidR="005E0AD3"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407EF3">
              <w:rPr>
                <w:bCs/>
                <w:color w:val="000000"/>
                <w:lang w:val="uk-UA"/>
              </w:rPr>
              <w:t xml:space="preserve">Цивільний </w:t>
            </w:r>
            <w:r w:rsidR="005E0AD3" w:rsidRPr="007A130B">
              <w:rPr>
                <w:bCs/>
                <w:color w:val="000000"/>
                <w:lang w:val="uk-UA"/>
              </w:rPr>
              <w:t>процесуальний ко</w:t>
            </w:r>
            <w:r w:rsidR="00407EF3">
              <w:rPr>
                <w:bCs/>
                <w:color w:val="000000"/>
                <w:lang w:val="uk-UA"/>
              </w:rPr>
              <w:t xml:space="preserve">декс України, Кримінальний </w:t>
            </w:r>
            <w:r w:rsidR="005E0AD3" w:rsidRPr="007A130B">
              <w:rPr>
                <w:bCs/>
                <w:color w:val="000000"/>
                <w:lang w:val="uk-UA"/>
              </w:rPr>
              <w:t xml:space="preserve">процесуальний кодекс України, </w:t>
            </w:r>
            <w:r w:rsidR="0058554E" w:rsidRPr="007A130B">
              <w:rPr>
                <w:bCs/>
                <w:color w:val="000000"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7D06E6D2" w14:textId="5F3E153D" w:rsidR="005E0AD3" w:rsidRPr="007A130B" w:rsidRDefault="005E0AD3" w:rsidP="00F2163F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</w:t>
            </w:r>
            <w:r w:rsidR="003D7058" w:rsidRPr="007A130B">
              <w:rPr>
                <w:bCs/>
                <w:color w:val="000000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</w:t>
            </w:r>
          </w:p>
          <w:p w14:paraId="5DB6C76E" w14:textId="6BC1A896" w:rsidR="00C67355" w:rsidRPr="007A130B" w:rsidRDefault="003D7058" w:rsidP="00F2163F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місця </w:t>
            </w:r>
            <w:r w:rsidR="00F2163F" w:rsidRPr="007A130B">
              <w:rPr>
                <w:bCs/>
                <w:color w:val="000000"/>
                <w:lang w:val="uk-UA"/>
              </w:rPr>
              <w:t xml:space="preserve">прецедентної практики ЄСПЛ  та </w:t>
            </w:r>
            <w:r w:rsidRPr="007A130B">
              <w:rPr>
                <w:bCs/>
                <w:color w:val="000000"/>
                <w:lang w:val="uk-UA"/>
              </w:rPr>
              <w:t>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7A130B" w14:paraId="3FBA6A8C" w14:textId="77777777" w:rsidTr="00450F82">
        <w:tc>
          <w:tcPr>
            <w:tcW w:w="9606" w:type="dxa"/>
            <w:gridSpan w:val="9"/>
          </w:tcPr>
          <w:p w14:paraId="3D3FEDFA" w14:textId="5DA7DEB3" w:rsidR="00CB1E3F" w:rsidRPr="007A130B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</w:t>
            </w:r>
            <w:r w:rsidR="0015640D">
              <w:rPr>
                <w:lang w:val="uk-UA"/>
              </w:rPr>
              <w:t xml:space="preserve"> «З</w:t>
            </w:r>
            <w:r w:rsidR="00407EF3">
              <w:rPr>
                <w:lang w:val="uk-UA"/>
              </w:rPr>
              <w:t xml:space="preserve">ахист прав і свобод людини і </w:t>
            </w:r>
            <w:r w:rsidR="00407EF3">
              <w:rPr>
                <w:lang w:val="uk-UA"/>
              </w:rPr>
              <w:lastRenderedPageBreak/>
              <w:t>громадянина в ЄСПЛ</w:t>
            </w:r>
            <w:r w:rsidRPr="007A130B">
              <w:rPr>
                <w:lang w:val="uk-UA"/>
              </w:rPr>
              <w:t xml:space="preserve">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420E0F0C" w14:textId="70845FB5" w:rsidR="00CB1E3F" w:rsidRPr="007A130B" w:rsidRDefault="00CB1E3F" w:rsidP="00CB1E3F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</w:t>
            </w:r>
            <w:r w:rsidR="0015640D">
              <w:rPr>
                <w:lang w:val="uk-UA"/>
              </w:rPr>
              <w:t xml:space="preserve"> «З</w:t>
            </w:r>
            <w:r w:rsidR="00407EF3">
              <w:rPr>
                <w:lang w:val="uk-UA"/>
              </w:rPr>
              <w:t>ахист прав і свобод людини і громадянина в ЄСПЛ</w:t>
            </w:r>
            <w:r w:rsidRPr="007A130B">
              <w:rPr>
                <w:lang w:val="uk-UA"/>
              </w:rPr>
              <w:t>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C67355" w:rsidRPr="007A130B" w:rsidRDefault="00C67355" w:rsidP="005D4B19">
            <w:pPr>
              <w:ind w:firstLine="310"/>
              <w:jc w:val="both"/>
            </w:pP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7A130B" w:rsidRDefault="00CB1E3F" w:rsidP="000E60F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6A0F7589" w:rsidR="000C46E3" w:rsidRPr="007A130B" w:rsidRDefault="0015640D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9E13933" w:rsidR="000C46E3" w:rsidRPr="007A130B" w:rsidRDefault="0015640D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F17D90F" w:rsidR="000C46E3" w:rsidRPr="007A130B" w:rsidRDefault="0015640D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7A130B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7A130B" w:rsidRDefault="00CB1E3F" w:rsidP="00AC76DC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75BEFC5E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39D4EB90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0DCC269E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6C3B17BD" w:rsidR="00613BE3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60D18A26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E30A642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736D09F8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320A9EA8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B672884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64EFD131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5C755198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5F30618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2EDBC6B8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1BC827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5E19A1CD" w:rsidR="009F1EE0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5D88FBCC" w14:textId="3EBD8D19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2E70402B" w:rsidR="00CB1E3F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68AA1AC3" w:rsidR="00CB1E3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7A130B" w:rsidRDefault="00F378F7" w:rsidP="003B0208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12DEB810" w14:textId="479F2B43" w:rsidR="00CB1E3F" w:rsidRPr="007A130B" w:rsidRDefault="00CB1E3F" w:rsidP="00CB1E3F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9F1EE0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54E1D3D0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706A759D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027B7AAA" w:rsidR="003B0208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6CFBD5D" w14:textId="69766E6F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91654F" w:rsidRPr="007A130B" w:rsidRDefault="00CB1E3F" w:rsidP="00F378F7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4A7841A7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61D7AD0" w:rsidR="0091654F" w:rsidRPr="007A130B" w:rsidRDefault="00F378F7" w:rsidP="003B0208">
            <w:pPr>
              <w:pStyle w:val="a9"/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4FDC729" w14:textId="7F77941A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10C5E9B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3F2EF2CF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43FD5A1A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D9B0F71" w14:textId="2979AC59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10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7A130B" w:rsidRDefault="00F378F7" w:rsidP="005368F1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15640D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6EE94BA6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 w:rsidR="00C23E42"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41DA8CA4" w:rsidR="003B0208" w:rsidRPr="007A130B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Вивчення дисципліни передбачає </w:t>
            </w:r>
            <w:r w:rsidRPr="007A130B">
              <w:rPr>
                <w:u w:val="single"/>
                <w:lang w:val="uk-UA"/>
              </w:rPr>
              <w:t>обов’язкове</w:t>
            </w:r>
            <w:r w:rsidRPr="007A130B">
              <w:rPr>
                <w:lang w:val="uk-UA"/>
              </w:rPr>
              <w:t xml:space="preserve"> в</w:t>
            </w:r>
            <w:r w:rsidR="00E44F0E" w:rsidRPr="007A130B">
              <w:rPr>
                <w:lang w:val="uk-UA"/>
              </w:rPr>
              <w:t xml:space="preserve">иконання всіма студентами однієї </w:t>
            </w:r>
            <w:r w:rsidRPr="007A130B">
              <w:rPr>
                <w:lang w:val="uk-UA"/>
              </w:rPr>
              <w:t>письмової модульної контрольної</w:t>
            </w:r>
            <w:r w:rsidR="00733639" w:rsidRPr="007A130B">
              <w:rPr>
                <w:lang w:val="uk-UA"/>
              </w:rPr>
              <w:t xml:space="preserve"> роботи</w:t>
            </w:r>
            <w:r w:rsidR="00C23E42">
              <w:rPr>
                <w:lang w:val="uk-UA"/>
              </w:rPr>
              <w:t>. Робота виконується на 6</w:t>
            </w:r>
            <w:r w:rsidRPr="007A130B">
              <w:rPr>
                <w:lang w:val="uk-UA"/>
              </w:rPr>
              <w:t xml:space="preserve"> семінарському занятті та охоплює </w:t>
            </w:r>
            <w:r w:rsidR="00C23E42">
              <w:rPr>
                <w:lang w:val="uk-UA"/>
              </w:rPr>
              <w:t>теми №№ 1-6</w:t>
            </w:r>
            <w:r w:rsidR="00733639" w:rsidRPr="007A130B">
              <w:rPr>
                <w:lang w:val="uk-UA"/>
              </w:rPr>
              <w:t>.</w:t>
            </w:r>
          </w:p>
          <w:p w14:paraId="332E4E97" w14:textId="52569E90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>На контрольну</w:t>
            </w:r>
            <w:r w:rsidR="00733639" w:rsidRPr="007A130B">
              <w:rPr>
                <w:lang w:val="uk-UA"/>
              </w:rPr>
              <w:t xml:space="preserve"> роботу виноситься 2 описових завданн</w:t>
            </w:r>
            <w:r w:rsidR="0015640D">
              <w:rPr>
                <w:lang w:val="uk-UA"/>
              </w:rPr>
              <w:t>я, кожне з яких  оцінюється по 10</w:t>
            </w:r>
            <w:r w:rsidRPr="007A130B">
              <w:rPr>
                <w:lang w:val="uk-UA"/>
              </w:rPr>
              <w:t xml:space="preserve"> балів, </w:t>
            </w:r>
            <w:r w:rsidR="00733639" w:rsidRPr="007A130B">
              <w:rPr>
                <w:lang w:val="uk-UA"/>
              </w:rPr>
              <w:t>одне схемати</w:t>
            </w:r>
            <w:r w:rsidR="0015640D">
              <w:rPr>
                <w:lang w:val="uk-UA"/>
              </w:rPr>
              <w:t>чне завдання, яке оцінюється в 5</w:t>
            </w:r>
            <w:r w:rsidR="00733639" w:rsidRPr="007A130B">
              <w:rPr>
                <w:lang w:val="uk-UA"/>
              </w:rPr>
              <w:t xml:space="preserve"> бали, 2</w:t>
            </w:r>
            <w:r w:rsidRPr="007A130B">
              <w:rPr>
                <w:lang w:val="uk-UA"/>
              </w:rPr>
              <w:t xml:space="preserve"> тестов</w:t>
            </w:r>
            <w:r w:rsidR="0015640D">
              <w:rPr>
                <w:lang w:val="uk-UA"/>
              </w:rPr>
              <w:t>их запитань, які оцінюються по 5</w:t>
            </w:r>
            <w:r w:rsidRPr="007A130B">
              <w:rPr>
                <w:lang w:val="uk-UA"/>
              </w:rPr>
              <w:t xml:space="preserve"> балу</w:t>
            </w:r>
            <w:r w:rsidR="00733639" w:rsidRPr="007A130B">
              <w:rPr>
                <w:lang w:val="uk-UA"/>
              </w:rPr>
              <w:t xml:space="preserve"> і</w:t>
            </w:r>
            <w:r w:rsidR="0015640D">
              <w:rPr>
                <w:lang w:val="uk-UA"/>
              </w:rPr>
              <w:t xml:space="preserve"> одна задача, яка оцінюється в 15</w:t>
            </w:r>
            <w:r w:rsidR="00733639" w:rsidRPr="007A130B">
              <w:rPr>
                <w:lang w:val="uk-UA"/>
              </w:rPr>
              <w:t xml:space="preserve"> балів</w:t>
            </w:r>
            <w:r w:rsidRPr="007A130B">
              <w:rPr>
                <w:lang w:val="uk-UA"/>
              </w:rPr>
              <w:t>. Максимальни</w:t>
            </w:r>
            <w:r w:rsidR="0015640D">
              <w:rPr>
                <w:lang w:val="uk-UA"/>
              </w:rPr>
              <w:t>й бал за контрольну становить 50</w:t>
            </w:r>
            <w:r w:rsidRPr="007A130B">
              <w:rPr>
                <w:lang w:val="uk-UA"/>
              </w:rPr>
              <w:t xml:space="preserve">. </w:t>
            </w:r>
          </w:p>
          <w:p w14:paraId="16EB2690" w14:textId="17F77958" w:rsidR="0040121D" w:rsidRPr="007A130B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7A130B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A130B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7A130B">
              <w:rPr>
                <w:lang w:val="uk-UA"/>
              </w:rPr>
              <w:t>курсових робіт</w:t>
            </w:r>
            <w:r w:rsidRPr="007A130B">
              <w:rPr>
                <w:lang w:val="uk-UA"/>
              </w:rPr>
              <w:t xml:space="preserve"> </w:t>
            </w:r>
            <w:r w:rsidRPr="007A130B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40121D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15640D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4.4.3.2, 4.4.3.3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C23E42"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F5A1A97" w14:textId="77777777" w:rsidR="0015640D" w:rsidRPr="007A130B" w:rsidRDefault="0015640D" w:rsidP="0015640D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4.6.1.</w:t>
            </w:r>
          </w:p>
          <w:p w14:paraId="5EBAD22B" w14:textId="77777777" w:rsidR="0015640D" w:rsidRPr="007A130B" w:rsidRDefault="0015640D" w:rsidP="0015640D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59B281BE" w14:textId="0B6271DA" w:rsidR="0015640D" w:rsidRPr="007A130B" w:rsidRDefault="0015640D" w:rsidP="0015640D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На залік виноситься 2 описових завданн</w:t>
            </w:r>
            <w:r>
              <w:rPr>
                <w:lang w:val="uk-UA"/>
              </w:rPr>
              <w:t>я, кожне з яких  оцінюється по 10</w:t>
            </w:r>
            <w:r w:rsidRPr="007A130B">
              <w:rPr>
                <w:lang w:val="uk-UA"/>
              </w:rPr>
              <w:t xml:space="preserve"> балів, одне схемати</w:t>
            </w:r>
            <w:r>
              <w:rPr>
                <w:lang w:val="uk-UA"/>
              </w:rPr>
              <w:t>чне завдання, яке оцінюється в 5</w:t>
            </w:r>
            <w:r w:rsidRPr="007A130B">
              <w:rPr>
                <w:lang w:val="uk-UA"/>
              </w:rPr>
              <w:t xml:space="preserve"> бали, 2 тестов</w:t>
            </w:r>
            <w:r>
              <w:rPr>
                <w:lang w:val="uk-UA"/>
              </w:rPr>
              <w:t>их запитань, які оцінюються по 5</w:t>
            </w:r>
            <w:r w:rsidRPr="007A130B">
              <w:rPr>
                <w:lang w:val="uk-UA"/>
              </w:rPr>
              <w:t xml:space="preserve"> балу і</w:t>
            </w:r>
            <w:r>
              <w:rPr>
                <w:lang w:val="uk-UA"/>
              </w:rPr>
              <w:t xml:space="preserve"> одна задача, яка оцінюється в 15</w:t>
            </w:r>
            <w:r w:rsidRPr="007A130B">
              <w:rPr>
                <w:lang w:val="uk-UA"/>
              </w:rPr>
              <w:t xml:space="preserve"> балів. Максимальни</w:t>
            </w:r>
            <w:r>
              <w:rPr>
                <w:lang w:val="uk-UA"/>
              </w:rPr>
              <w:t>й бал за залікову роботу становить 50 балів.</w:t>
            </w:r>
          </w:p>
          <w:p w14:paraId="194E1C0F" w14:textId="6A40F98D" w:rsidR="00B703C2" w:rsidRPr="007A130B" w:rsidRDefault="00B703C2" w:rsidP="0015640D">
            <w:pPr>
              <w:jc w:val="both"/>
              <w:rPr>
                <w:lang w:val="uk-UA"/>
              </w:rPr>
            </w:pP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15640D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1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58C79093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</w:t>
            </w:r>
            <w:r w:rsidRPr="007A130B">
              <w:rPr>
                <w:lang w:val="uk-UA"/>
              </w:rPr>
              <w:lastRenderedPageBreak/>
              <w:t>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 w:rsidR="003F01A1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3F01A1"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 w:rsidR="003F01A1"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3F01A1">
              <w:rPr>
                <w:lang w:val="uk-UA"/>
              </w:rPr>
              <w:t>» (</w:t>
            </w:r>
            <w:r w:rsidR="00911755" w:rsidRPr="007A130B">
              <w:rPr>
                <w:lang w:val="uk-UA"/>
              </w:rPr>
              <w:t xml:space="preserve"> </w:t>
            </w:r>
            <w:hyperlink r:id="rId13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Механізми захисту прав в Україні (деякі науково-практичні аспекти) [Текст] / під ред. Є. Б. Кубка. – К. : ПрАТ "Юридична практика", 2016. – 656 с. </w:t>
            </w:r>
          </w:p>
          <w:p w14:paraId="17663B06" w14:textId="1263544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>, А.  "</w:t>
            </w:r>
            <w:proofErr w:type="spellStart"/>
            <w:r w:rsidRPr="007A130B">
              <w:rPr>
                <w:szCs w:val="28"/>
                <w:lang w:val="uk-UA"/>
              </w:rPr>
              <w:t>Precedent</w:t>
            </w:r>
            <w:proofErr w:type="spellEnd"/>
            <w:r w:rsidRPr="007A130B">
              <w:rPr>
                <w:szCs w:val="28"/>
                <w:lang w:val="uk-UA"/>
              </w:rPr>
              <w:t xml:space="preserve"> UA -2015" [Текст] / Аркадій </w:t>
            </w: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 xml:space="preserve">, </w:t>
            </w:r>
            <w:proofErr w:type="spellStart"/>
            <w:r w:rsidRPr="007A130B">
              <w:rPr>
                <w:szCs w:val="28"/>
                <w:lang w:val="uk-UA"/>
              </w:rPr>
              <w:t>О. Сапожнік</w:t>
            </w:r>
            <w:proofErr w:type="spellEnd"/>
            <w:r w:rsidRPr="007A130B">
              <w:rPr>
                <w:szCs w:val="28"/>
                <w:lang w:val="uk-UA"/>
              </w:rPr>
              <w:t xml:space="preserve">ова, </w:t>
            </w:r>
            <w:proofErr w:type="spellStart"/>
            <w:r w:rsidRPr="007A130B">
              <w:rPr>
                <w:szCs w:val="28"/>
                <w:lang w:val="uk-UA"/>
              </w:rPr>
              <w:t>О. Шинкаренко</w:t>
            </w:r>
            <w:proofErr w:type="spellEnd"/>
            <w:r w:rsidRPr="007A130B">
              <w:rPr>
                <w:szCs w:val="28"/>
                <w:lang w:val="uk-UA"/>
              </w:rPr>
              <w:t>. – К. : КВІЦ, 2015. – 412 с.</w:t>
            </w:r>
          </w:p>
          <w:p w14:paraId="07A5B158" w14:textId="48D2FD1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7A130B">
              <w:rPr>
                <w:szCs w:val="28"/>
                <w:lang w:val="uk-UA"/>
              </w:rPr>
              <w:t>навч</w:t>
            </w:r>
            <w:proofErr w:type="spellEnd"/>
            <w:r w:rsidRPr="007A130B">
              <w:rPr>
                <w:szCs w:val="28"/>
                <w:lang w:val="uk-UA"/>
              </w:rPr>
              <w:t xml:space="preserve">. </w:t>
            </w:r>
            <w:proofErr w:type="spellStart"/>
            <w:r w:rsidRPr="007A130B">
              <w:rPr>
                <w:szCs w:val="28"/>
                <w:lang w:val="uk-UA"/>
              </w:rPr>
              <w:t>посіб</w:t>
            </w:r>
            <w:proofErr w:type="spellEnd"/>
            <w:r w:rsidRPr="007A130B">
              <w:rPr>
                <w:szCs w:val="28"/>
                <w:lang w:val="uk-UA"/>
              </w:rPr>
              <w:t xml:space="preserve">. / Т. І. </w:t>
            </w: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. – 3-тє вид. – К. : </w:t>
            </w:r>
            <w:proofErr w:type="spellStart"/>
            <w:r w:rsidRPr="007A130B">
              <w:rPr>
                <w:szCs w:val="28"/>
                <w:lang w:val="uk-UA"/>
              </w:rPr>
              <w:t>Алерта</w:t>
            </w:r>
            <w:proofErr w:type="spellEnd"/>
            <w:r w:rsidRPr="007A130B">
              <w:rPr>
                <w:szCs w:val="28"/>
                <w:lang w:val="uk-UA"/>
              </w:rPr>
              <w:t>, 2013. – 488 с.</w:t>
            </w:r>
          </w:p>
          <w:p w14:paraId="6144FD07" w14:textId="78445A4B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 [Текст]: </w:t>
            </w:r>
            <w:proofErr w:type="spellStart"/>
            <w:r w:rsidRPr="007A130B">
              <w:rPr>
                <w:szCs w:val="28"/>
                <w:lang w:val="uk-UA"/>
              </w:rPr>
              <w:t>інфор.-аналіт.звіт</w:t>
            </w:r>
            <w:proofErr w:type="spellEnd"/>
            <w:r w:rsidRPr="007A130B">
              <w:rPr>
                <w:szCs w:val="28"/>
                <w:lang w:val="uk-UA"/>
              </w:rPr>
              <w:t xml:space="preserve"> / М. </w:t>
            </w:r>
            <w:proofErr w:type="spellStart"/>
            <w:r w:rsidRPr="007A130B">
              <w:rPr>
                <w:szCs w:val="28"/>
                <w:lang w:val="uk-UA"/>
              </w:rPr>
              <w:t>Гнатовський</w:t>
            </w:r>
            <w:proofErr w:type="spellEnd"/>
            <w:r w:rsidRPr="007A130B">
              <w:rPr>
                <w:szCs w:val="28"/>
                <w:lang w:val="uk-UA"/>
              </w:rPr>
              <w:t xml:space="preserve"> та ін.-К. : </w:t>
            </w:r>
            <w:proofErr w:type="spellStart"/>
            <w:r w:rsidRPr="007A130B">
              <w:rPr>
                <w:szCs w:val="28"/>
                <w:lang w:val="uk-UA"/>
              </w:rPr>
              <w:t>Атіка</w:t>
            </w:r>
            <w:proofErr w:type="spellEnd"/>
            <w:r w:rsidRPr="007A130B">
              <w:rPr>
                <w:szCs w:val="28"/>
                <w:lang w:val="uk-UA"/>
              </w:rPr>
              <w:t>, 2011. – 184 с.</w:t>
            </w:r>
          </w:p>
          <w:p w14:paraId="7148D991" w14:textId="5F307E3E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укладачі: Ю. Зайцев,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IV.-К. : Фенікс, 2005. – 400 с.</w:t>
            </w:r>
          </w:p>
          <w:p w14:paraId="62680423" w14:textId="6E5977A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уклад.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V. – К. : Фенікс, 2007. – 656 с.</w:t>
            </w:r>
          </w:p>
          <w:p w14:paraId="79504B4F" w14:textId="6D8B851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3 (08). – К. : Юрінком Інтер, 2012. – 239 с.</w:t>
            </w:r>
          </w:p>
          <w:p w14:paraId="1C7CE147" w14:textId="3987B42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4 (09). – К. : Юрінком Інтер, 2012. – 239 с.</w:t>
            </w:r>
          </w:p>
          <w:p w14:paraId="3F4F963E" w14:textId="35DDBF5C" w:rsidR="00F378F7" w:rsidRPr="003F01A1" w:rsidRDefault="00F378F7" w:rsidP="003F01A1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52393D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</w:t>
      </w:r>
      <w:proofErr w:type="spellStart"/>
      <w:r w:rsidR="003F01A1">
        <w:rPr>
          <w:bCs/>
          <w:sz w:val="28"/>
          <w:szCs w:val="28"/>
          <w:lang w:val="uk-UA"/>
        </w:rPr>
        <w:t>асист</w:t>
      </w:r>
      <w:proofErr w:type="spellEnd"/>
      <w:r w:rsidR="003F01A1">
        <w:rPr>
          <w:bCs/>
          <w:sz w:val="28"/>
          <w:szCs w:val="28"/>
          <w:lang w:val="uk-UA"/>
        </w:rPr>
        <w:t xml:space="preserve">. Н.Я. </w:t>
      </w:r>
      <w:proofErr w:type="spellStart"/>
      <w:r w:rsidR="003F01A1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5640D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3C6E"/>
    <w:rsid w:val="004411D1"/>
    <w:rsid w:val="00450F82"/>
    <w:rsid w:val="004764AE"/>
    <w:rsid w:val="00483A45"/>
    <w:rsid w:val="004A515E"/>
    <w:rsid w:val="004F7AFF"/>
    <w:rsid w:val="00523427"/>
    <w:rsid w:val="0052393D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564DD"/>
    <w:rsid w:val="006A14B2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1922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23E42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31BC6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D9A4-441B-4CD9-959C-36A3856E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9513</Words>
  <Characters>5423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2022-03-27T11:36:00Z</dcterms:created>
  <dcterms:modified xsi:type="dcterms:W3CDTF">2022-03-27T11:43:00Z</dcterms:modified>
</cp:coreProperties>
</file>