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01.</w:t>
      </w:r>
      <w:r>
        <w:rPr>
          <w:rFonts w:ascii="Times New Roman" w:hAnsi="Times New Roman"/>
          <w:b/>
          <w:sz w:val="24"/>
          <w:szCs w:val="24"/>
        </w:rPr>
        <w:t>1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</w:rPr>
        <w:t>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B51387" w:rsidRPr="00B50BC6" w:rsidRDefault="00B51387" w:rsidP="00B51387">
      <w:pPr>
        <w:tabs>
          <w:tab w:val="left" w:pos="851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16.</w:t>
      </w:r>
      <w:r w:rsidR="00741767">
        <w:rPr>
          <w:rFonts w:ascii="Times New Roman" w:hAnsi="Times New Roman"/>
          <w:bCs/>
          <w:sz w:val="24"/>
          <w:szCs w:val="24"/>
        </w:rPr>
        <w:t>Угода про визнання винуватості у сучасному кримінальному процесі</w:t>
      </w:r>
      <w:r w:rsidR="00B50BC6">
        <w:rPr>
          <w:rFonts w:ascii="Times New Roman" w:hAnsi="Times New Roman"/>
          <w:bCs/>
          <w:sz w:val="24"/>
          <w:szCs w:val="24"/>
        </w:rPr>
        <w:t>:порівняльно-правовий аналіз</w:t>
      </w:r>
      <w:r w:rsidR="0077544B">
        <w:rPr>
          <w:rFonts w:ascii="Times New Roman" w:hAnsi="Times New Roman"/>
          <w:bCs/>
          <w:sz w:val="24"/>
          <w:szCs w:val="24"/>
        </w:rPr>
        <w:t>.</w:t>
      </w:r>
      <w:r w:rsidR="00B50BC6">
        <w:rPr>
          <w:rFonts w:ascii="Times New Roman" w:hAnsi="Times New Roman"/>
          <w:bCs/>
          <w:sz w:val="24"/>
          <w:szCs w:val="24"/>
        </w:rPr>
        <w:t xml:space="preserve"> </w:t>
      </w:r>
      <w:r w:rsidR="00B50BC6">
        <w:rPr>
          <w:rFonts w:ascii="Times New Roman" w:hAnsi="Times New Roman"/>
          <w:b/>
          <w:sz w:val="24"/>
          <w:szCs w:val="24"/>
        </w:rPr>
        <w:t>(Боднар Ю.)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  <w:r w:rsidR="00DE50CA">
        <w:rPr>
          <w:rFonts w:ascii="Times New Roman" w:hAnsi="Times New Roman"/>
          <w:b/>
          <w:bCs/>
          <w:sz w:val="24"/>
          <w:szCs w:val="24"/>
        </w:rPr>
        <w:t>(</w:t>
      </w:r>
      <w:r w:rsidR="00D77E2E">
        <w:rPr>
          <w:rFonts w:ascii="Times New Roman" w:hAnsi="Times New Roman"/>
          <w:b/>
          <w:bCs/>
          <w:sz w:val="24"/>
          <w:szCs w:val="24"/>
        </w:rPr>
        <w:t>Савчин В.Б.) ПР-3</w:t>
      </w:r>
      <w:r w:rsidR="00E82D9A">
        <w:rPr>
          <w:rFonts w:ascii="Times New Roman" w:hAnsi="Times New Roman"/>
          <w:b/>
          <w:bCs/>
          <w:sz w:val="24"/>
          <w:szCs w:val="24"/>
        </w:rPr>
        <w:t>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  <w:r w:rsidR="007C070B">
        <w:rPr>
          <w:rFonts w:ascii="Times New Roman" w:hAnsi="Times New Roman"/>
          <w:b/>
          <w:bCs/>
          <w:sz w:val="24"/>
          <w:szCs w:val="24"/>
        </w:rPr>
        <w:t>(</w:t>
      </w:r>
      <w:r w:rsidR="0074217A">
        <w:rPr>
          <w:rFonts w:ascii="Times New Roman" w:hAnsi="Times New Roman"/>
          <w:b/>
          <w:bCs/>
          <w:sz w:val="24"/>
          <w:szCs w:val="24"/>
        </w:rPr>
        <w:t>Гаркот Д.Ю.) ПР-</w:t>
      </w:r>
      <w:r w:rsidR="005509D3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656D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  <w:r w:rsidR="00B656D4">
        <w:rPr>
          <w:rFonts w:ascii="Times New Roman" w:hAnsi="Times New Roman"/>
          <w:b/>
          <w:sz w:val="24"/>
          <w:szCs w:val="24"/>
        </w:rPr>
        <w:t>(Мосійчук В.Д.) ПР</w:t>
      </w:r>
      <w:r w:rsidR="00A6417B">
        <w:rPr>
          <w:rFonts w:ascii="Times New Roman" w:hAnsi="Times New Roman"/>
          <w:b/>
          <w:sz w:val="24"/>
          <w:szCs w:val="24"/>
        </w:rPr>
        <w:t>з-32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77544B" w:rsidRPr="00FD0AA4" w:rsidRDefault="0077544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13.Висновок експерта </w:t>
      </w:r>
      <w:r w:rsidR="00FD0AA4">
        <w:rPr>
          <w:rFonts w:ascii="Times New Roman" w:hAnsi="Times New Roman"/>
          <w:bCs/>
          <w:sz w:val="24"/>
          <w:szCs w:val="24"/>
        </w:rPr>
        <w:t xml:space="preserve">як засіб доказування в цивільному процесі </w:t>
      </w:r>
      <w:r w:rsidR="00FD0AA4">
        <w:rPr>
          <w:rFonts w:ascii="Times New Roman" w:hAnsi="Times New Roman"/>
          <w:b/>
          <w:sz w:val="24"/>
          <w:szCs w:val="24"/>
        </w:rPr>
        <w:t>(Федорук А.Я.)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  <w:r w:rsidR="007F7712">
        <w:rPr>
          <w:rFonts w:ascii="Times New Roman" w:hAnsi="Times New Roman"/>
          <w:b/>
          <w:bCs/>
          <w:sz w:val="24"/>
          <w:szCs w:val="24"/>
        </w:rPr>
        <w:t>(Турецька Р.В.)</w:t>
      </w:r>
      <w:r w:rsidR="00A747D1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  <w:r w:rsidR="00674191">
        <w:rPr>
          <w:rFonts w:ascii="Times New Roman" w:hAnsi="Times New Roman"/>
          <w:b/>
          <w:bCs/>
          <w:sz w:val="24"/>
          <w:szCs w:val="24"/>
        </w:rPr>
        <w:t>(</w:t>
      </w:r>
      <w:r w:rsidR="00687991">
        <w:rPr>
          <w:rFonts w:ascii="Times New Roman" w:hAnsi="Times New Roman"/>
          <w:b/>
          <w:bCs/>
          <w:sz w:val="24"/>
          <w:szCs w:val="24"/>
        </w:rPr>
        <w:t>Войтків</w:t>
      </w:r>
      <w:r w:rsidR="00D36510">
        <w:rPr>
          <w:rFonts w:ascii="Times New Roman" w:hAnsi="Times New Roman"/>
          <w:b/>
          <w:bCs/>
          <w:sz w:val="24"/>
          <w:szCs w:val="24"/>
        </w:rPr>
        <w:t xml:space="preserve"> Х.В.</w:t>
      </w:r>
      <w:r w:rsidR="00EB0E74">
        <w:rPr>
          <w:rFonts w:ascii="Times New Roman" w:hAnsi="Times New Roman"/>
          <w:b/>
          <w:bCs/>
          <w:sz w:val="24"/>
          <w:szCs w:val="24"/>
        </w:rPr>
        <w:t>)МП-31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  <w:r w:rsidR="002F20C8">
        <w:rPr>
          <w:rFonts w:ascii="Times New Roman" w:hAnsi="Times New Roman"/>
          <w:b/>
          <w:bCs/>
          <w:sz w:val="24"/>
          <w:szCs w:val="24"/>
        </w:rPr>
        <w:t>(Каюк К.І.) МП-31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  <w:r w:rsidR="005335A1">
        <w:rPr>
          <w:rFonts w:ascii="Times New Roman" w:hAnsi="Times New Roman"/>
          <w:b/>
          <w:bCs/>
          <w:sz w:val="24"/>
          <w:szCs w:val="24"/>
        </w:rPr>
        <w:t>(Кривули</w:t>
      </w:r>
      <w:r w:rsidR="008133D0">
        <w:rPr>
          <w:rFonts w:ascii="Times New Roman" w:hAnsi="Times New Roman"/>
          <w:b/>
          <w:bCs/>
          <w:sz w:val="24"/>
          <w:szCs w:val="24"/>
        </w:rPr>
        <w:t>ч В.В.) МП-32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  <w:r w:rsidR="00070725">
        <w:rPr>
          <w:rFonts w:ascii="Times New Roman" w:hAnsi="Times New Roman"/>
          <w:b/>
          <w:bCs/>
          <w:sz w:val="24"/>
          <w:szCs w:val="24"/>
        </w:rPr>
        <w:t>(Кочубей В.М.)</w:t>
      </w:r>
      <w:r w:rsidR="00510A3E">
        <w:rPr>
          <w:rFonts w:ascii="Times New Roman" w:hAnsi="Times New Roman"/>
          <w:b/>
          <w:bCs/>
          <w:sz w:val="24"/>
          <w:szCs w:val="24"/>
        </w:rPr>
        <w:t xml:space="preserve"> 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17916"/>
    <w:rsid w:val="0006683A"/>
    <w:rsid w:val="00070725"/>
    <w:rsid w:val="00086A13"/>
    <w:rsid w:val="000E2AB0"/>
    <w:rsid w:val="00105AE5"/>
    <w:rsid w:val="00151910"/>
    <w:rsid w:val="001C7D6E"/>
    <w:rsid w:val="001D5066"/>
    <w:rsid w:val="001E4132"/>
    <w:rsid w:val="001E4869"/>
    <w:rsid w:val="002379EF"/>
    <w:rsid w:val="00250DFB"/>
    <w:rsid w:val="00267511"/>
    <w:rsid w:val="002E39EF"/>
    <w:rsid w:val="002F20C8"/>
    <w:rsid w:val="002F3FE5"/>
    <w:rsid w:val="00305372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10A3E"/>
    <w:rsid w:val="005335A1"/>
    <w:rsid w:val="00541106"/>
    <w:rsid w:val="005509D3"/>
    <w:rsid w:val="00562483"/>
    <w:rsid w:val="005774E2"/>
    <w:rsid w:val="00580FE4"/>
    <w:rsid w:val="00591D36"/>
    <w:rsid w:val="005B7B1B"/>
    <w:rsid w:val="005C63D6"/>
    <w:rsid w:val="005D49CB"/>
    <w:rsid w:val="005D49FA"/>
    <w:rsid w:val="005E5695"/>
    <w:rsid w:val="00610AC0"/>
    <w:rsid w:val="0061372B"/>
    <w:rsid w:val="00637251"/>
    <w:rsid w:val="00655D22"/>
    <w:rsid w:val="0066068F"/>
    <w:rsid w:val="00674191"/>
    <w:rsid w:val="00687991"/>
    <w:rsid w:val="006A2A83"/>
    <w:rsid w:val="006C64F8"/>
    <w:rsid w:val="006D4839"/>
    <w:rsid w:val="006F3664"/>
    <w:rsid w:val="0070258D"/>
    <w:rsid w:val="00716CAD"/>
    <w:rsid w:val="00741767"/>
    <w:rsid w:val="0074217A"/>
    <w:rsid w:val="0075300C"/>
    <w:rsid w:val="00753F66"/>
    <w:rsid w:val="0076621B"/>
    <w:rsid w:val="00766515"/>
    <w:rsid w:val="0077544B"/>
    <w:rsid w:val="007B218A"/>
    <w:rsid w:val="007B6542"/>
    <w:rsid w:val="007B6D57"/>
    <w:rsid w:val="007C070B"/>
    <w:rsid w:val="007F3DB7"/>
    <w:rsid w:val="007F7712"/>
    <w:rsid w:val="0081228D"/>
    <w:rsid w:val="008133D0"/>
    <w:rsid w:val="00824F03"/>
    <w:rsid w:val="00854F08"/>
    <w:rsid w:val="0085749E"/>
    <w:rsid w:val="00871E56"/>
    <w:rsid w:val="00875158"/>
    <w:rsid w:val="00896B7A"/>
    <w:rsid w:val="00906C23"/>
    <w:rsid w:val="009432F9"/>
    <w:rsid w:val="00957DF0"/>
    <w:rsid w:val="009B3314"/>
    <w:rsid w:val="009D3488"/>
    <w:rsid w:val="009D4720"/>
    <w:rsid w:val="009E5176"/>
    <w:rsid w:val="00A02CF7"/>
    <w:rsid w:val="00A03E8D"/>
    <w:rsid w:val="00A30604"/>
    <w:rsid w:val="00A6417B"/>
    <w:rsid w:val="00A747D1"/>
    <w:rsid w:val="00AC0820"/>
    <w:rsid w:val="00AC0F51"/>
    <w:rsid w:val="00B147BC"/>
    <w:rsid w:val="00B31B20"/>
    <w:rsid w:val="00B33E2B"/>
    <w:rsid w:val="00B37348"/>
    <w:rsid w:val="00B50BC6"/>
    <w:rsid w:val="00B51387"/>
    <w:rsid w:val="00B656D4"/>
    <w:rsid w:val="00BC7F19"/>
    <w:rsid w:val="00BF6232"/>
    <w:rsid w:val="00C23105"/>
    <w:rsid w:val="00C604CD"/>
    <w:rsid w:val="00C6549A"/>
    <w:rsid w:val="00C7095B"/>
    <w:rsid w:val="00C81295"/>
    <w:rsid w:val="00CB487E"/>
    <w:rsid w:val="00CF0730"/>
    <w:rsid w:val="00D36510"/>
    <w:rsid w:val="00D4487D"/>
    <w:rsid w:val="00D77E2E"/>
    <w:rsid w:val="00DE50CA"/>
    <w:rsid w:val="00E27202"/>
    <w:rsid w:val="00E37A45"/>
    <w:rsid w:val="00E82D9A"/>
    <w:rsid w:val="00EB0E74"/>
    <w:rsid w:val="00EC332A"/>
    <w:rsid w:val="00F20634"/>
    <w:rsid w:val="00F44AA9"/>
    <w:rsid w:val="00F76413"/>
    <w:rsid w:val="00F8643C"/>
    <w:rsid w:val="00FC75C5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4DF7D3F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5177</Words>
  <Characters>2952</Characters>
  <Application>Microsoft Office Word</Application>
  <DocSecurity>0</DocSecurity>
  <Lines>24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105</cp:revision>
  <dcterms:created xsi:type="dcterms:W3CDTF">2021-10-07T21:07:00Z</dcterms:created>
  <dcterms:modified xsi:type="dcterms:W3CDTF">2021-11-01T18:29:00Z</dcterms:modified>
</cp:coreProperties>
</file>