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3F" w:rsidRPr="00276003" w:rsidRDefault="00631B3F" w:rsidP="00990BD9">
      <w:pPr>
        <w:ind w:left="5954"/>
        <w:rPr>
          <w:lang w:val="uk-UA"/>
        </w:rPr>
      </w:pPr>
      <w:r w:rsidRPr="00276003">
        <w:rPr>
          <w:lang w:val="uk-UA"/>
        </w:rPr>
        <w:t xml:space="preserve">Затверджено на засіданні </w:t>
      </w:r>
    </w:p>
    <w:p w:rsidR="00631B3F" w:rsidRPr="00276003" w:rsidRDefault="00631B3F" w:rsidP="00990BD9">
      <w:pPr>
        <w:ind w:left="5954"/>
        <w:rPr>
          <w:lang w:val="uk-UA"/>
        </w:rPr>
      </w:pPr>
      <w:r w:rsidRPr="00276003">
        <w:rPr>
          <w:lang w:val="uk-UA"/>
        </w:rPr>
        <w:t xml:space="preserve">кафедри судочинства </w:t>
      </w:r>
    </w:p>
    <w:p w:rsidR="00631B3F" w:rsidRDefault="00631B3F" w:rsidP="00E37D46">
      <w:pPr>
        <w:ind w:left="5954"/>
        <w:rPr>
          <w:lang w:val="uk-UA"/>
        </w:rPr>
      </w:pPr>
      <w:r w:rsidRPr="00276003">
        <w:rPr>
          <w:lang w:val="uk-UA"/>
        </w:rPr>
        <w:t>протокол №</w:t>
      </w:r>
      <w:r w:rsidR="0085448D">
        <w:rPr>
          <w:lang w:val="uk-UA"/>
        </w:rPr>
        <w:t>8</w:t>
      </w:r>
      <w:r w:rsidRPr="00276003">
        <w:rPr>
          <w:lang w:val="uk-UA"/>
        </w:rPr>
        <w:t xml:space="preserve"> від </w:t>
      </w:r>
      <w:r w:rsidR="0085448D">
        <w:rPr>
          <w:lang w:val="uk-UA"/>
        </w:rPr>
        <w:t>26 січня</w:t>
      </w:r>
      <w:r w:rsidR="00183D31">
        <w:rPr>
          <w:lang w:val="uk-UA"/>
        </w:rPr>
        <w:t xml:space="preserve"> </w:t>
      </w:r>
      <w:r w:rsidRPr="00276003">
        <w:rPr>
          <w:lang w:val="uk-UA"/>
        </w:rPr>
        <w:t>20</w:t>
      </w:r>
      <w:r w:rsidR="0085448D">
        <w:rPr>
          <w:lang w:val="uk-UA"/>
        </w:rPr>
        <w:t>21</w:t>
      </w:r>
      <w:r w:rsidRPr="00276003">
        <w:rPr>
          <w:lang w:val="uk-UA"/>
        </w:rPr>
        <w:t>р.</w:t>
      </w:r>
    </w:p>
    <w:p w:rsidR="00183D31" w:rsidRPr="00276003" w:rsidRDefault="00183D31" w:rsidP="00E37D46">
      <w:pPr>
        <w:ind w:left="5954"/>
        <w:rPr>
          <w:lang w:val="uk-UA"/>
        </w:rPr>
      </w:pPr>
    </w:p>
    <w:p w:rsidR="00631B3F" w:rsidRPr="00276003" w:rsidRDefault="00631B3F" w:rsidP="00990BD9">
      <w:pPr>
        <w:ind w:left="6372"/>
        <w:rPr>
          <w:lang w:val="uk-UA"/>
        </w:rPr>
      </w:pPr>
    </w:p>
    <w:p w:rsidR="00631B3F" w:rsidRDefault="00631B3F" w:rsidP="00990BD9">
      <w:pPr>
        <w:ind w:left="-120"/>
        <w:jc w:val="center"/>
        <w:rPr>
          <w:b/>
          <w:sz w:val="28"/>
          <w:szCs w:val="28"/>
          <w:lang w:val="uk-UA"/>
        </w:rPr>
      </w:pPr>
      <w:r w:rsidRPr="00276003">
        <w:rPr>
          <w:b/>
          <w:sz w:val="28"/>
          <w:szCs w:val="28"/>
          <w:lang w:val="uk-UA"/>
        </w:rPr>
        <w:t xml:space="preserve">ПРОГРАМОВІ ВИМОГИ </w:t>
      </w:r>
    </w:p>
    <w:p w:rsidR="00183D31" w:rsidRPr="00276003" w:rsidRDefault="00183D31" w:rsidP="00990BD9">
      <w:pPr>
        <w:ind w:left="-12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Pr="00276003">
        <w:rPr>
          <w:sz w:val="28"/>
          <w:szCs w:val="28"/>
          <w:lang w:val="uk-UA"/>
        </w:rPr>
        <w:t xml:space="preserve">дисципліни </w:t>
      </w:r>
      <w:r>
        <w:rPr>
          <w:sz w:val="28"/>
          <w:szCs w:val="28"/>
          <w:lang w:val="uk-UA"/>
        </w:rPr>
        <w:t xml:space="preserve"> за вибором ВНЗ</w:t>
      </w:r>
    </w:p>
    <w:p w:rsidR="00631B3F" w:rsidRPr="00276003" w:rsidRDefault="00631B3F" w:rsidP="00990BD9">
      <w:pPr>
        <w:ind w:left="-120"/>
        <w:jc w:val="center"/>
        <w:rPr>
          <w:b/>
          <w:sz w:val="32"/>
          <w:szCs w:val="32"/>
          <w:lang w:val="uk-UA"/>
        </w:rPr>
      </w:pPr>
      <w:r w:rsidRPr="00276003">
        <w:rPr>
          <w:sz w:val="28"/>
          <w:szCs w:val="28"/>
          <w:lang w:val="uk-UA"/>
        </w:rPr>
        <w:t xml:space="preserve"> </w:t>
      </w:r>
      <w:r w:rsidRPr="00276003">
        <w:rPr>
          <w:b/>
          <w:sz w:val="32"/>
          <w:szCs w:val="32"/>
          <w:lang w:val="uk-UA"/>
        </w:rPr>
        <w:t>„Міжнародний захист прав людини”</w:t>
      </w:r>
    </w:p>
    <w:p w:rsidR="00631B3F" w:rsidRPr="00276003" w:rsidRDefault="00631B3F" w:rsidP="00990BD9">
      <w:pPr>
        <w:ind w:left="-120"/>
        <w:jc w:val="center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для студентів  напряму підготовки 081 Право ОС «Бакалавр»</w:t>
      </w:r>
    </w:p>
    <w:p w:rsidR="00631B3F" w:rsidRPr="00276003" w:rsidRDefault="00631B3F" w:rsidP="00990BD9">
      <w:pPr>
        <w:ind w:left="-120"/>
        <w:jc w:val="center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на  II семестр 20</w:t>
      </w:r>
      <w:r w:rsidR="0085448D">
        <w:rPr>
          <w:sz w:val="28"/>
          <w:szCs w:val="28"/>
          <w:lang w:val="uk-UA"/>
        </w:rPr>
        <w:t>20</w:t>
      </w:r>
      <w:r w:rsidRPr="00276003">
        <w:rPr>
          <w:sz w:val="28"/>
          <w:szCs w:val="28"/>
          <w:lang w:val="uk-UA"/>
        </w:rPr>
        <w:t>-20</w:t>
      </w:r>
      <w:r w:rsidR="00183D31">
        <w:rPr>
          <w:sz w:val="28"/>
          <w:szCs w:val="28"/>
          <w:lang w:val="uk-UA"/>
        </w:rPr>
        <w:t>2</w:t>
      </w:r>
      <w:r w:rsidR="0085448D">
        <w:rPr>
          <w:sz w:val="28"/>
          <w:szCs w:val="28"/>
          <w:lang w:val="uk-UA"/>
        </w:rPr>
        <w:t>1</w:t>
      </w:r>
      <w:bookmarkStart w:id="0" w:name="_GoBack"/>
      <w:bookmarkEnd w:id="0"/>
      <w:r w:rsidRPr="00276003">
        <w:rPr>
          <w:sz w:val="28"/>
          <w:szCs w:val="28"/>
          <w:lang w:val="uk-UA"/>
        </w:rPr>
        <w:t xml:space="preserve"> н. р.</w:t>
      </w:r>
    </w:p>
    <w:p w:rsidR="00631B3F" w:rsidRDefault="00631B3F" w:rsidP="0023700C">
      <w:pPr>
        <w:pStyle w:val="Default"/>
        <w:spacing w:before="100" w:beforeAutospacing="1" w:after="100" w:afterAutospacing="1"/>
        <w:ind w:firstLine="708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276003">
        <w:rPr>
          <w:b/>
          <w:bCs/>
          <w:sz w:val="28"/>
          <w:szCs w:val="28"/>
        </w:rPr>
        <w:t>Загальні положення про права людини</w:t>
      </w:r>
    </w:p>
    <w:p w:rsidR="00631B3F" w:rsidRPr="00276003" w:rsidRDefault="00631B3F" w:rsidP="0023700C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6003">
        <w:rPr>
          <w:sz w:val="28"/>
          <w:szCs w:val="28"/>
        </w:rPr>
        <w:t>Природа та сутність прав людини. Класифікація прав людини. Універсальність прав людини. Захист прав людини в діяльності Ліги Націй</w:t>
      </w:r>
    </w:p>
    <w:p w:rsidR="00631B3F" w:rsidRPr="00276003" w:rsidRDefault="00631B3F" w:rsidP="0023700C">
      <w:pPr>
        <w:pStyle w:val="Default"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631B3F" w:rsidRDefault="00631B3F" w:rsidP="0023700C">
      <w:pPr>
        <w:pStyle w:val="Default"/>
        <w:spacing w:before="100" w:beforeAutospacing="1" w:after="100" w:afterAutospacing="1"/>
        <w:ind w:firstLine="708"/>
        <w:contextualSpacing/>
        <w:jc w:val="both"/>
        <w:rPr>
          <w:b/>
          <w:bCs/>
          <w:sz w:val="28"/>
          <w:szCs w:val="28"/>
        </w:rPr>
      </w:pPr>
      <w:r w:rsidRPr="00276003">
        <w:rPr>
          <w:b/>
          <w:bCs/>
          <w:sz w:val="28"/>
          <w:szCs w:val="28"/>
        </w:rPr>
        <w:t>Захист прав людини в діяльності ООН</w:t>
      </w:r>
    </w:p>
    <w:p w:rsidR="00631B3F" w:rsidRPr="00276003" w:rsidRDefault="00631B3F" w:rsidP="0023700C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 xml:space="preserve">Статут ООН,  Загальна декларація прав людини 1948р. Рада ООН з прав людини. Верховний Комісар ООН з прав людини. Процедура 1503. </w:t>
      </w:r>
    </w:p>
    <w:p w:rsidR="00631B3F" w:rsidRPr="00276003" w:rsidRDefault="00631B3F" w:rsidP="00902464">
      <w:pPr>
        <w:pStyle w:val="Default"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ab/>
        <w:t xml:space="preserve">Міжнародний пакт про громадянські та політичні права 1966р., Комітет по правах людини. </w:t>
      </w:r>
    </w:p>
    <w:p w:rsidR="00631B3F" w:rsidRPr="00276003" w:rsidRDefault="00631B3F" w:rsidP="00902464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 xml:space="preserve">Міжнародний пакт про економічні, соціальні та культурні права 1966р.,  Комітет із економічних, соціальних та культурних прав.  </w:t>
      </w:r>
    </w:p>
    <w:p w:rsidR="00631B3F" w:rsidRPr="00276003" w:rsidRDefault="00631B3F" w:rsidP="00902464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Конвен</w:t>
      </w:r>
      <w:r>
        <w:rPr>
          <w:sz w:val="28"/>
          <w:szCs w:val="28"/>
        </w:rPr>
        <w:t>ц</w:t>
      </w:r>
      <w:r w:rsidRPr="00276003">
        <w:rPr>
          <w:sz w:val="28"/>
          <w:szCs w:val="28"/>
        </w:rPr>
        <w:t xml:space="preserve">ія ООН з ліквідації всіх форм дискримінації щодо жінок 1979р. Комітет з ліквідації дискримінації щодо жінок. </w:t>
      </w:r>
    </w:p>
    <w:p w:rsidR="00631B3F" w:rsidRPr="00276003" w:rsidRDefault="00631B3F" w:rsidP="00F34ED0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 xml:space="preserve">Конвенція про права дитини 1989р. Комітет з прав дитини. </w:t>
      </w:r>
    </w:p>
    <w:p w:rsidR="00631B3F" w:rsidRPr="00276003" w:rsidRDefault="00631B3F" w:rsidP="00902464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Ко</w:t>
      </w:r>
      <w:r w:rsidR="001C7624">
        <w:rPr>
          <w:sz w:val="28"/>
          <w:szCs w:val="28"/>
        </w:rPr>
        <w:t>н</w:t>
      </w:r>
      <w:r w:rsidRPr="00276003">
        <w:rPr>
          <w:sz w:val="28"/>
          <w:szCs w:val="28"/>
        </w:rPr>
        <w:t xml:space="preserve">венція проти катувань та інших жорстоких, нелюдських або таких, що принижують гідність, видів поводження і покарання 1984р. Комітет проти катувань. </w:t>
      </w:r>
    </w:p>
    <w:p w:rsidR="00631B3F" w:rsidRPr="00276003" w:rsidRDefault="00631B3F" w:rsidP="00F34ED0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Міжнародна конвенція про ліквідацію всіх форм расової дискримінації 1965р. Комітет по ліквідації расової дискримінації.</w:t>
      </w:r>
    </w:p>
    <w:p w:rsidR="00631B3F" w:rsidRPr="00276003" w:rsidRDefault="00631B3F" w:rsidP="00F34ED0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 xml:space="preserve"> Конвенція про права осіб з інвалідністю 2006р. Комітет з прав осіб з інвалідністю.</w:t>
      </w:r>
    </w:p>
    <w:p w:rsidR="00631B3F" w:rsidRPr="00276003" w:rsidRDefault="00631B3F" w:rsidP="004C3275">
      <w:pPr>
        <w:pStyle w:val="Default"/>
        <w:spacing w:before="100" w:beforeAutospacing="1" w:after="100" w:afterAutospacing="1"/>
        <w:contextualSpacing/>
        <w:rPr>
          <w:sz w:val="28"/>
          <w:szCs w:val="28"/>
        </w:rPr>
      </w:pPr>
    </w:p>
    <w:p w:rsidR="00631B3F" w:rsidRDefault="00631B3F" w:rsidP="0023700C">
      <w:pPr>
        <w:pStyle w:val="Default"/>
        <w:spacing w:before="100" w:beforeAutospacing="1" w:after="100" w:afterAutospacing="1"/>
        <w:ind w:firstLine="708"/>
        <w:contextualSpacing/>
        <w:rPr>
          <w:b/>
          <w:bCs/>
          <w:sz w:val="28"/>
          <w:szCs w:val="28"/>
        </w:rPr>
      </w:pPr>
      <w:r w:rsidRPr="00276003">
        <w:rPr>
          <w:b/>
          <w:bCs/>
          <w:sz w:val="28"/>
          <w:szCs w:val="28"/>
        </w:rPr>
        <w:t>Захист прав людини в Європі</w:t>
      </w:r>
    </w:p>
    <w:p w:rsidR="00631B3F" w:rsidRPr="00276003" w:rsidRDefault="00631B3F" w:rsidP="0023700C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Конвенція про захист прав людини та основоположних свобод 1950р.: принципи тлумачення, особливості застосування в національному правопорядку. Європейський суд із прав людини: юрисдикція та процедура звернення. Виконання рішень Європейського суду з прав людини в Україні (справа «</w:t>
      </w:r>
      <w:proofErr w:type="spellStart"/>
      <w:r w:rsidRPr="00276003">
        <w:rPr>
          <w:sz w:val="28"/>
          <w:szCs w:val="28"/>
        </w:rPr>
        <w:t>Бурмич</w:t>
      </w:r>
      <w:proofErr w:type="spellEnd"/>
      <w:r w:rsidRPr="00276003">
        <w:rPr>
          <w:sz w:val="28"/>
          <w:szCs w:val="28"/>
        </w:rPr>
        <w:t xml:space="preserve"> та інші проти України» №№ 46852/13, 47786/13, 54125/13, рішення Великої палати 2017р.;  справа «</w:t>
      </w:r>
      <w:proofErr w:type="spellStart"/>
      <w:r w:rsidRPr="00276003">
        <w:rPr>
          <w:sz w:val="28"/>
          <w:szCs w:val="28"/>
        </w:rPr>
        <w:t>Бочан</w:t>
      </w:r>
      <w:proofErr w:type="spellEnd"/>
      <w:r w:rsidRPr="00276003">
        <w:rPr>
          <w:sz w:val="28"/>
          <w:szCs w:val="28"/>
        </w:rPr>
        <w:t xml:space="preserve"> проти України №2» 2015р.).  Закон України «Про виконання рішень та застосування практики  Європейського суду з прав людини» від 23 лютого 2006р.</w:t>
      </w:r>
    </w:p>
    <w:p w:rsidR="00631B3F" w:rsidRPr="00276003" w:rsidRDefault="00631B3F" w:rsidP="00C205E9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Контроль Комітету Міністрів Ради Європи за виконанням рішень Європейського суду з прав людини. Європейська соціальна хартія (переглянута). Захист прав людини в Європейськом</w:t>
      </w:r>
      <w:r>
        <w:rPr>
          <w:sz w:val="28"/>
          <w:szCs w:val="28"/>
        </w:rPr>
        <w:t>у</w:t>
      </w:r>
      <w:r w:rsidRPr="00276003">
        <w:rPr>
          <w:sz w:val="28"/>
          <w:szCs w:val="28"/>
        </w:rPr>
        <w:t xml:space="preserve"> Союзі. Хартія основоположних прав Європейського Союзу 2000р.</w:t>
      </w:r>
    </w:p>
    <w:p w:rsidR="00631B3F" w:rsidRPr="00276003" w:rsidRDefault="00631B3F" w:rsidP="00EE3179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lastRenderedPageBreak/>
        <w:t>Діяльність ОБСЄ  у сфері визначення та просування стандартів захисту прав людини (Бюро з демократичних інс</w:t>
      </w:r>
      <w:r>
        <w:rPr>
          <w:sz w:val="28"/>
          <w:szCs w:val="28"/>
        </w:rPr>
        <w:t>т</w:t>
      </w:r>
      <w:r w:rsidRPr="00276003">
        <w:rPr>
          <w:sz w:val="28"/>
          <w:szCs w:val="28"/>
        </w:rPr>
        <w:t>итутів і прав людини ОБСЄ, Верховний  Комісар ОБСЄ у справах національних меншин)</w:t>
      </w:r>
    </w:p>
    <w:p w:rsidR="00631B3F" w:rsidRPr="00276003" w:rsidRDefault="00631B3F" w:rsidP="00EE3179">
      <w:pPr>
        <w:ind w:firstLine="708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Інші регіональні системи захисту прав людини</w:t>
      </w:r>
    </w:p>
    <w:p w:rsidR="00631B3F" w:rsidRPr="00276003" w:rsidRDefault="00631B3F" w:rsidP="00EE3179">
      <w:pPr>
        <w:ind w:firstLine="709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Міжамериканська система захисту прав людини. Африканська система захисту прав людини. Субрегіональні системи захисту прав людини в Африці. Арабська система захисту прав людини . Захист прав людини в рамках АСЕАН (Асоціація держав Південно-Східної Азії).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EE3179">
      <w:pPr>
        <w:ind w:firstLine="708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Право на життя</w:t>
      </w:r>
    </w:p>
    <w:p w:rsidR="00631B3F" w:rsidRPr="00276003" w:rsidRDefault="00631B3F" w:rsidP="00EE3179">
      <w:pPr>
        <w:ind w:firstLine="709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 xml:space="preserve">Обсяг та складові права на життя. Зобов’язання держави щодо права на життя. </w:t>
      </w:r>
    </w:p>
    <w:p w:rsidR="00631B3F" w:rsidRPr="00276003" w:rsidRDefault="00631B3F" w:rsidP="00EE3179">
      <w:pPr>
        <w:ind w:firstLine="709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Практика Європейського суду з прав людини щодо права на життя (справа «</w:t>
      </w:r>
      <w:proofErr w:type="spellStart"/>
      <w:r w:rsidRPr="00276003">
        <w:rPr>
          <w:sz w:val="28"/>
          <w:szCs w:val="28"/>
          <w:lang w:val="uk-UA"/>
        </w:rPr>
        <w:t>Макканн</w:t>
      </w:r>
      <w:proofErr w:type="spellEnd"/>
      <w:r w:rsidRPr="00276003">
        <w:rPr>
          <w:sz w:val="28"/>
          <w:szCs w:val="28"/>
          <w:lang w:val="uk-UA"/>
        </w:rPr>
        <w:t xml:space="preserve"> та інші проти Сполученого Королівства 1995р», №18984/91, рішення Великої палати 1995р.; «</w:t>
      </w:r>
      <w:proofErr w:type="spellStart"/>
      <w:r w:rsidRPr="00276003">
        <w:rPr>
          <w:sz w:val="28"/>
          <w:szCs w:val="28"/>
          <w:lang w:val="uk-UA"/>
        </w:rPr>
        <w:t>Лопеш</w:t>
      </w:r>
      <w:proofErr w:type="spellEnd"/>
      <w:r w:rsidRPr="00276003">
        <w:rPr>
          <w:sz w:val="28"/>
          <w:szCs w:val="28"/>
          <w:lang w:val="uk-UA"/>
        </w:rPr>
        <w:t xml:space="preserve"> де </w:t>
      </w:r>
      <w:proofErr w:type="spellStart"/>
      <w:r w:rsidRPr="00276003">
        <w:rPr>
          <w:sz w:val="28"/>
          <w:szCs w:val="28"/>
          <w:lang w:val="uk-UA"/>
        </w:rPr>
        <w:t>Соуза</w:t>
      </w:r>
      <w:proofErr w:type="spellEnd"/>
      <w:r w:rsidRPr="00276003">
        <w:rPr>
          <w:sz w:val="28"/>
          <w:szCs w:val="28"/>
          <w:lang w:val="uk-UA"/>
        </w:rPr>
        <w:t xml:space="preserve"> </w:t>
      </w:r>
      <w:proofErr w:type="spellStart"/>
      <w:r w:rsidRPr="00276003">
        <w:rPr>
          <w:sz w:val="28"/>
          <w:szCs w:val="28"/>
          <w:lang w:val="uk-UA"/>
        </w:rPr>
        <w:t>Фернандеш</w:t>
      </w:r>
      <w:proofErr w:type="spellEnd"/>
      <w:r w:rsidRPr="00276003">
        <w:rPr>
          <w:sz w:val="28"/>
          <w:szCs w:val="28"/>
          <w:lang w:val="uk-UA"/>
        </w:rPr>
        <w:t xml:space="preserve"> проти Португалії» №56080/13, рішення Великої палати 2017р.) </w:t>
      </w:r>
    </w:p>
    <w:p w:rsidR="00631B3F" w:rsidRPr="00276003" w:rsidRDefault="00631B3F" w:rsidP="00EE3179">
      <w:pPr>
        <w:pStyle w:val="Default"/>
        <w:spacing w:before="100" w:beforeAutospacing="1" w:after="100" w:afterAutospacing="1"/>
        <w:ind w:firstLine="709"/>
        <w:contextualSpacing/>
        <w:jc w:val="both"/>
        <w:rPr>
          <w:b/>
          <w:bCs/>
          <w:sz w:val="28"/>
          <w:szCs w:val="28"/>
        </w:rPr>
      </w:pPr>
      <w:r w:rsidRPr="00276003">
        <w:rPr>
          <w:b/>
          <w:bCs/>
          <w:sz w:val="28"/>
          <w:szCs w:val="28"/>
        </w:rPr>
        <w:t>Заборона катувань, нелюдських або таких, що принижують гідність, видів поводження чи покарання</w:t>
      </w:r>
    </w:p>
    <w:p w:rsidR="00631B3F" w:rsidRPr="00276003" w:rsidRDefault="00631B3F" w:rsidP="003820F3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Обсяг та складові заборони катувань, нелюдських або таких, що принижують гідність, видів поводження чи покарання. Зобов’язання держави щодо заборони катувань, нелюдських або таких, що принижують гідність, видів поводження чи покарання.</w:t>
      </w:r>
    </w:p>
    <w:p w:rsidR="00631B3F" w:rsidRPr="00276003" w:rsidRDefault="00631B3F" w:rsidP="003820F3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 xml:space="preserve"> Практика Європейського суду з прав людини щодо заборони катувань, нелюдських або таких, що принижують гідність, видів поводження чи покарання (справа «</w:t>
      </w:r>
      <w:proofErr w:type="spellStart"/>
      <w:r w:rsidRPr="00276003">
        <w:rPr>
          <w:sz w:val="28"/>
          <w:szCs w:val="28"/>
        </w:rPr>
        <w:t>Сорінг</w:t>
      </w:r>
      <w:proofErr w:type="spellEnd"/>
      <w:r w:rsidRPr="00276003">
        <w:rPr>
          <w:sz w:val="28"/>
          <w:szCs w:val="28"/>
        </w:rPr>
        <w:t xml:space="preserve"> проти Сполученого Королівства», № 14038/88, 1989р.; справ «</w:t>
      </w:r>
      <w:proofErr w:type="spellStart"/>
      <w:r w:rsidRPr="00276003">
        <w:rPr>
          <w:sz w:val="28"/>
          <w:szCs w:val="28"/>
        </w:rPr>
        <w:t>Гефген</w:t>
      </w:r>
      <w:proofErr w:type="spellEnd"/>
      <w:r w:rsidRPr="00276003">
        <w:rPr>
          <w:sz w:val="28"/>
          <w:szCs w:val="28"/>
        </w:rPr>
        <w:t xml:space="preserve"> проти Німеччини» №22978/05, рішення Великої палати 2010р.; справа «</w:t>
      </w:r>
      <w:proofErr w:type="spellStart"/>
      <w:r w:rsidRPr="00276003">
        <w:rPr>
          <w:sz w:val="28"/>
          <w:szCs w:val="28"/>
        </w:rPr>
        <w:t>Каверзін</w:t>
      </w:r>
      <w:proofErr w:type="spellEnd"/>
      <w:r w:rsidRPr="00276003">
        <w:rPr>
          <w:sz w:val="28"/>
          <w:szCs w:val="28"/>
        </w:rPr>
        <w:t xml:space="preserve"> проти України, №23893/03, 2012 р.) </w:t>
      </w:r>
    </w:p>
    <w:p w:rsidR="00631B3F" w:rsidRPr="00276003" w:rsidRDefault="00631B3F" w:rsidP="00EE3179">
      <w:pPr>
        <w:pStyle w:val="Default"/>
        <w:spacing w:before="100" w:beforeAutospacing="1" w:after="100" w:afterAutospacing="1"/>
        <w:ind w:firstLine="709"/>
        <w:contextualSpacing/>
        <w:jc w:val="both"/>
      </w:pPr>
    </w:p>
    <w:p w:rsidR="00631B3F" w:rsidRPr="00276003" w:rsidRDefault="00631B3F" w:rsidP="003820F3">
      <w:pPr>
        <w:pStyle w:val="Default"/>
        <w:spacing w:before="100" w:beforeAutospacing="1" w:after="100" w:afterAutospacing="1"/>
        <w:ind w:firstLine="709"/>
        <w:contextualSpacing/>
        <w:jc w:val="both"/>
        <w:rPr>
          <w:b/>
          <w:bCs/>
          <w:sz w:val="28"/>
          <w:szCs w:val="28"/>
        </w:rPr>
      </w:pPr>
      <w:r w:rsidRPr="00276003">
        <w:rPr>
          <w:b/>
          <w:bCs/>
          <w:sz w:val="28"/>
          <w:szCs w:val="28"/>
        </w:rPr>
        <w:t>Право на свободу та особисту недоторканність</w:t>
      </w:r>
    </w:p>
    <w:p w:rsidR="00631B3F" w:rsidRPr="00276003" w:rsidRDefault="00631B3F" w:rsidP="003820F3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Обсяг та складові права на свободу та особисту недоторканність. Зобов’язання держави щодо права на свободу та особисту недоторканність. Практика Європейського суду з прав людини щодо права на свободу та особисту недоторканність (справа «Харченко проти України», № 40107/02, 2011р; справа «Остін та інші проти Сполученого Королівства» № 39692/09, рішення Великої палати 2012 р.)</w:t>
      </w:r>
    </w:p>
    <w:p w:rsidR="00631B3F" w:rsidRPr="00276003" w:rsidRDefault="00631B3F" w:rsidP="003820F3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</w:p>
    <w:p w:rsidR="00631B3F" w:rsidRPr="00276003" w:rsidRDefault="00631B3F" w:rsidP="0089176D">
      <w:pPr>
        <w:pStyle w:val="Default"/>
        <w:spacing w:before="100" w:beforeAutospacing="1" w:after="100" w:afterAutospacing="1"/>
        <w:ind w:firstLine="708"/>
        <w:contextualSpacing/>
        <w:jc w:val="both"/>
        <w:rPr>
          <w:b/>
          <w:bCs/>
          <w:sz w:val="28"/>
          <w:szCs w:val="28"/>
        </w:rPr>
      </w:pPr>
      <w:r w:rsidRPr="00276003">
        <w:rPr>
          <w:b/>
          <w:bCs/>
          <w:sz w:val="28"/>
          <w:szCs w:val="28"/>
        </w:rPr>
        <w:t>Право на повагу до приватного і сімейного життя, житла та кореспонденції</w:t>
      </w:r>
    </w:p>
    <w:p w:rsidR="00631B3F" w:rsidRPr="00276003" w:rsidRDefault="00631B3F" w:rsidP="0089176D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b/>
          <w:bCs/>
          <w:sz w:val="28"/>
          <w:szCs w:val="28"/>
        </w:rPr>
        <w:t xml:space="preserve"> </w:t>
      </w:r>
      <w:r w:rsidRPr="00276003">
        <w:rPr>
          <w:sz w:val="28"/>
          <w:szCs w:val="28"/>
        </w:rPr>
        <w:t>Обсяг та складові права на повагу до приватного й сімейного життя, житла та кореспонденції. Зобов’язання держави щодо права на повагу до приватного й сімейного життя, житла та кореспонденції.</w:t>
      </w:r>
    </w:p>
    <w:p w:rsidR="00631B3F" w:rsidRPr="00276003" w:rsidRDefault="00631B3F" w:rsidP="0089176D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 xml:space="preserve"> Практика Європейського суду з прав людини щодо права на повагу до приватного життя ( справа «С. і </w:t>
      </w:r>
      <w:proofErr w:type="spellStart"/>
      <w:r w:rsidRPr="00276003">
        <w:rPr>
          <w:sz w:val="28"/>
          <w:szCs w:val="28"/>
        </w:rPr>
        <w:t>Марпер</w:t>
      </w:r>
      <w:proofErr w:type="spellEnd"/>
      <w:r w:rsidRPr="00276003">
        <w:rPr>
          <w:sz w:val="28"/>
          <w:szCs w:val="28"/>
        </w:rPr>
        <w:t xml:space="preserve"> проти Сполученого Королівства», №№ </w:t>
      </w:r>
      <w:r w:rsidRPr="00276003">
        <w:rPr>
          <w:sz w:val="28"/>
          <w:szCs w:val="28"/>
        </w:rPr>
        <w:lastRenderedPageBreak/>
        <w:t xml:space="preserve">30562/04; 30566/04, рішення Великої палати 2008р.; Справа «Денісов проти України», № 76639/11, рішення Великої палати 2018р.). </w:t>
      </w:r>
    </w:p>
    <w:p w:rsidR="00631B3F" w:rsidRPr="00276003" w:rsidRDefault="00631B3F" w:rsidP="0089176D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Практика Європейського суду з прав людини щодо права на повагу до сімейного життя ( справа «Савіни проти України» № 39948/06, 2008 р.; «М.Р. і Д.Р. проти України» № 63551/13, 2018р.).</w:t>
      </w:r>
    </w:p>
    <w:p w:rsidR="00631B3F" w:rsidRPr="00276003" w:rsidRDefault="00631B3F" w:rsidP="00C205E9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Практика Європейського суду з прав людини щодо права на повагу до житла (справа «</w:t>
      </w:r>
      <w:proofErr w:type="spellStart"/>
      <w:r w:rsidRPr="00276003">
        <w:rPr>
          <w:sz w:val="28"/>
          <w:szCs w:val="28"/>
        </w:rPr>
        <w:t>Німіц</w:t>
      </w:r>
      <w:proofErr w:type="spellEnd"/>
      <w:r w:rsidRPr="00276003">
        <w:rPr>
          <w:sz w:val="28"/>
          <w:szCs w:val="28"/>
        </w:rPr>
        <w:t xml:space="preserve"> проти Німеччини, № 13710/88, 1992р.; справа «</w:t>
      </w:r>
      <w:proofErr w:type="spellStart"/>
      <w:r w:rsidRPr="00276003">
        <w:rPr>
          <w:sz w:val="28"/>
          <w:szCs w:val="28"/>
        </w:rPr>
        <w:t>Кривіцька</w:t>
      </w:r>
      <w:proofErr w:type="spellEnd"/>
      <w:r w:rsidRPr="00276003">
        <w:rPr>
          <w:sz w:val="28"/>
          <w:szCs w:val="28"/>
        </w:rPr>
        <w:t xml:space="preserve"> та </w:t>
      </w:r>
      <w:proofErr w:type="spellStart"/>
      <w:r w:rsidRPr="00276003">
        <w:rPr>
          <w:sz w:val="28"/>
          <w:szCs w:val="28"/>
        </w:rPr>
        <w:t>Кривіцький</w:t>
      </w:r>
      <w:proofErr w:type="spellEnd"/>
      <w:r w:rsidRPr="00276003">
        <w:rPr>
          <w:sz w:val="28"/>
          <w:szCs w:val="28"/>
        </w:rPr>
        <w:t xml:space="preserve"> проти України» №30856/03, 2011р.).</w:t>
      </w:r>
    </w:p>
    <w:p w:rsidR="00631B3F" w:rsidRPr="00276003" w:rsidRDefault="00631B3F" w:rsidP="00A24F38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Практика Європейського суду з прав людини щодо права на повагу до кореспонденції (справа «Роман Захаров проти Росії» №47143/06, рішення Великої палати 2015р; справа «</w:t>
      </w:r>
      <w:proofErr w:type="spellStart"/>
      <w:r w:rsidRPr="00276003">
        <w:rPr>
          <w:sz w:val="28"/>
          <w:szCs w:val="28"/>
        </w:rPr>
        <w:t>Барбулеску</w:t>
      </w:r>
      <w:proofErr w:type="spellEnd"/>
      <w:r w:rsidRPr="00276003">
        <w:rPr>
          <w:sz w:val="28"/>
          <w:szCs w:val="28"/>
        </w:rPr>
        <w:t xml:space="preserve"> проти Румунії» № 61496/08, рішення Великої палати 2017 р.)</w:t>
      </w:r>
    </w:p>
    <w:p w:rsidR="00631B3F" w:rsidRPr="00276003" w:rsidRDefault="00631B3F" w:rsidP="00EE3179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Свобода думки, совісті та релігії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 xml:space="preserve">Обсяг та складові права на свободу думки, совісті та релігії. Зобов’язання держави щодо права на свободу думки, совісті та релігії. </w:t>
      </w:r>
    </w:p>
    <w:p w:rsidR="00631B3F" w:rsidRPr="00276003" w:rsidRDefault="00631B3F" w:rsidP="00A24F38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Практика Європейського суду з прав людини щодо права на свободу думки, совісті та релігії (справа  «</w:t>
      </w:r>
      <w:proofErr w:type="spellStart"/>
      <w:r w:rsidRPr="00276003">
        <w:rPr>
          <w:sz w:val="28"/>
          <w:szCs w:val="28"/>
          <w:lang w:val="uk-UA"/>
        </w:rPr>
        <w:t>Коккінакіс</w:t>
      </w:r>
      <w:proofErr w:type="spellEnd"/>
      <w:r w:rsidRPr="00276003">
        <w:rPr>
          <w:sz w:val="28"/>
          <w:szCs w:val="28"/>
          <w:lang w:val="uk-UA"/>
        </w:rPr>
        <w:t xml:space="preserve"> проти Греції» № 14307/88, 1993р.; справа «С.А.С. проти Франції» №43835/11, рішення Великої палати 2014р.; справа «</w:t>
      </w:r>
      <w:proofErr w:type="spellStart"/>
      <w:r w:rsidRPr="00276003">
        <w:rPr>
          <w:sz w:val="28"/>
          <w:szCs w:val="28"/>
          <w:lang w:val="uk-UA"/>
        </w:rPr>
        <w:t>Евейда</w:t>
      </w:r>
      <w:proofErr w:type="spellEnd"/>
      <w:r w:rsidRPr="00276003">
        <w:rPr>
          <w:sz w:val="28"/>
          <w:szCs w:val="28"/>
          <w:lang w:val="uk-UA"/>
        </w:rPr>
        <w:t xml:space="preserve"> та інші проти Сполученого Королівства» №№ 48420/10, 59842/10, 51671/10, 36516/10, 2013р.)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EE3179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Свобода вираження поглядів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 xml:space="preserve">Обсяг та складові права на свободу вираження поглядів. Зобов’язання держави щодо права на свободу вираження поглядів. </w:t>
      </w:r>
    </w:p>
    <w:p w:rsidR="00631B3F" w:rsidRPr="00276003" w:rsidRDefault="00631B3F" w:rsidP="00A24F38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Практика Європейського суду з прав людини щодо права на свободу вираження поглядів (справа «</w:t>
      </w:r>
      <w:proofErr w:type="spellStart"/>
      <w:r w:rsidRPr="00276003">
        <w:rPr>
          <w:sz w:val="28"/>
          <w:szCs w:val="28"/>
          <w:lang w:val="uk-UA"/>
        </w:rPr>
        <w:t>Лінгенс</w:t>
      </w:r>
      <w:proofErr w:type="spellEnd"/>
      <w:r w:rsidRPr="00276003">
        <w:rPr>
          <w:sz w:val="28"/>
          <w:szCs w:val="28"/>
          <w:lang w:val="uk-UA"/>
        </w:rPr>
        <w:t xml:space="preserve"> проти Австрії» № 9815/82, 1986р.; справа «Угорський </w:t>
      </w:r>
      <w:proofErr w:type="spellStart"/>
      <w:r w:rsidRPr="00276003">
        <w:rPr>
          <w:sz w:val="28"/>
          <w:szCs w:val="28"/>
          <w:lang w:val="uk-UA"/>
        </w:rPr>
        <w:t>Гельсінсьий</w:t>
      </w:r>
      <w:proofErr w:type="spellEnd"/>
      <w:r w:rsidRPr="00276003">
        <w:rPr>
          <w:sz w:val="28"/>
          <w:szCs w:val="28"/>
          <w:lang w:val="uk-UA"/>
        </w:rPr>
        <w:t xml:space="preserve"> Комітет проти Угорщини» №18030/11, рішення Великої палати 2016р; справа « </w:t>
      </w:r>
      <w:proofErr w:type="spellStart"/>
      <w:r w:rsidRPr="00276003">
        <w:rPr>
          <w:sz w:val="28"/>
          <w:szCs w:val="28"/>
          <w:lang w:val="uk-UA"/>
        </w:rPr>
        <w:t>Аксель</w:t>
      </w:r>
      <w:proofErr w:type="spellEnd"/>
      <w:r w:rsidRPr="00276003">
        <w:rPr>
          <w:sz w:val="28"/>
          <w:szCs w:val="28"/>
          <w:lang w:val="uk-UA"/>
        </w:rPr>
        <w:t xml:space="preserve"> </w:t>
      </w:r>
      <w:proofErr w:type="spellStart"/>
      <w:r w:rsidRPr="00276003">
        <w:rPr>
          <w:sz w:val="28"/>
          <w:szCs w:val="28"/>
          <w:lang w:val="uk-UA"/>
        </w:rPr>
        <w:t>Шпрінгер</w:t>
      </w:r>
      <w:proofErr w:type="spellEnd"/>
      <w:r w:rsidRPr="00276003">
        <w:rPr>
          <w:sz w:val="28"/>
          <w:szCs w:val="28"/>
          <w:lang w:val="uk-UA"/>
        </w:rPr>
        <w:t xml:space="preserve"> АГ проти Німеччини» № 39954/08, рішення Великої палати 2012 р.)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EE3179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Свобода зібрань та об’єднання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Обсяг та складові права на свободу зібрань та об’єднання. Зобов’язання держави щодо права на свободу зібрань та об’єднання.</w:t>
      </w:r>
    </w:p>
    <w:p w:rsidR="00631B3F" w:rsidRPr="00276003" w:rsidRDefault="00631B3F" w:rsidP="002E0441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 xml:space="preserve"> Практика Європейського суду з прав людини щодо права на свободу зібрань та об’єднання (справа «Веніамін Тимошенко та інші проти України» № 48408/12, 2014р.; справа « </w:t>
      </w:r>
      <w:proofErr w:type="spellStart"/>
      <w:r w:rsidRPr="00276003">
        <w:rPr>
          <w:sz w:val="28"/>
          <w:szCs w:val="28"/>
          <w:lang w:val="uk-UA"/>
        </w:rPr>
        <w:t>Букта</w:t>
      </w:r>
      <w:proofErr w:type="spellEnd"/>
      <w:r w:rsidRPr="00276003">
        <w:rPr>
          <w:sz w:val="28"/>
          <w:szCs w:val="28"/>
          <w:lang w:val="uk-UA"/>
        </w:rPr>
        <w:t xml:space="preserve"> та інші проти Угорщини», № 25691/04, 2007 р.; справа « </w:t>
      </w:r>
      <w:proofErr w:type="spellStart"/>
      <w:r w:rsidRPr="00276003">
        <w:rPr>
          <w:sz w:val="28"/>
          <w:szCs w:val="28"/>
          <w:lang w:val="uk-UA"/>
        </w:rPr>
        <w:t>Баранкевич</w:t>
      </w:r>
      <w:proofErr w:type="spellEnd"/>
      <w:r w:rsidRPr="00276003">
        <w:rPr>
          <w:sz w:val="28"/>
          <w:szCs w:val="28"/>
          <w:lang w:val="uk-UA"/>
        </w:rPr>
        <w:t xml:space="preserve"> проти Росії» , №10519/03 2007 р.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EE3179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Право на власність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 xml:space="preserve">Обсяг та складові права на власність. Зобов’язання держави щодо права на власність. </w:t>
      </w:r>
    </w:p>
    <w:p w:rsidR="00631B3F" w:rsidRPr="00276003" w:rsidRDefault="00631B3F" w:rsidP="00C205E9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Практика Європейського суду з прав людини щодо права на власність (справа «</w:t>
      </w:r>
      <w:proofErr w:type="spellStart"/>
      <w:r w:rsidRPr="00276003">
        <w:rPr>
          <w:sz w:val="28"/>
          <w:szCs w:val="28"/>
          <w:lang w:val="uk-UA"/>
        </w:rPr>
        <w:t>Спо</w:t>
      </w:r>
      <w:r>
        <w:rPr>
          <w:sz w:val="28"/>
          <w:szCs w:val="28"/>
          <w:lang w:val="uk-UA"/>
        </w:rPr>
        <w:t>р</w:t>
      </w:r>
      <w:r w:rsidRPr="00276003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</w:t>
      </w:r>
      <w:r w:rsidRPr="00276003">
        <w:rPr>
          <w:sz w:val="28"/>
          <w:szCs w:val="28"/>
          <w:lang w:val="uk-UA"/>
        </w:rPr>
        <w:t>нг</w:t>
      </w:r>
      <w:proofErr w:type="spellEnd"/>
      <w:r w:rsidRPr="00276003">
        <w:rPr>
          <w:sz w:val="28"/>
          <w:szCs w:val="28"/>
          <w:lang w:val="uk-UA"/>
        </w:rPr>
        <w:t xml:space="preserve"> і </w:t>
      </w:r>
      <w:proofErr w:type="spellStart"/>
      <w:r w:rsidRPr="00276003">
        <w:rPr>
          <w:sz w:val="28"/>
          <w:szCs w:val="28"/>
          <w:lang w:val="uk-UA"/>
        </w:rPr>
        <w:t>Льоннрот</w:t>
      </w:r>
      <w:proofErr w:type="spellEnd"/>
      <w:r w:rsidRPr="00276003">
        <w:rPr>
          <w:sz w:val="28"/>
          <w:szCs w:val="28"/>
          <w:lang w:val="uk-UA"/>
        </w:rPr>
        <w:t xml:space="preserve"> проти Швеції», №№ 7151/75, 7152/75, 1982р.; справа  «</w:t>
      </w:r>
      <w:proofErr w:type="spellStart"/>
      <w:r w:rsidRPr="00276003">
        <w:rPr>
          <w:sz w:val="28"/>
          <w:szCs w:val="28"/>
          <w:lang w:val="uk-UA"/>
        </w:rPr>
        <w:t>Луїзіду</w:t>
      </w:r>
      <w:proofErr w:type="spellEnd"/>
      <w:r w:rsidRPr="00276003">
        <w:rPr>
          <w:sz w:val="28"/>
          <w:szCs w:val="28"/>
          <w:lang w:val="uk-UA"/>
        </w:rPr>
        <w:t xml:space="preserve"> проти Туреччини», № 15318/89, рішення Великої палати </w:t>
      </w:r>
      <w:r w:rsidRPr="00276003">
        <w:rPr>
          <w:sz w:val="28"/>
          <w:szCs w:val="28"/>
          <w:lang w:val="uk-UA"/>
        </w:rPr>
        <w:lastRenderedPageBreak/>
        <w:t>1996р.; справа «Фонд</w:t>
      </w:r>
      <w:r w:rsidR="001C7624">
        <w:rPr>
          <w:sz w:val="28"/>
          <w:szCs w:val="28"/>
          <w:lang w:val="uk-UA"/>
        </w:rPr>
        <w:t xml:space="preserve"> </w:t>
      </w:r>
      <w:r w:rsidRPr="00276003">
        <w:rPr>
          <w:sz w:val="28"/>
          <w:szCs w:val="28"/>
          <w:lang w:val="uk-UA"/>
        </w:rPr>
        <w:t xml:space="preserve">«Батьківська турбота» проти України», № 5876/15, 2018р.) 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EE3179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Заборона дискримінації</w:t>
      </w:r>
    </w:p>
    <w:p w:rsidR="00631B3F" w:rsidRPr="00276003" w:rsidRDefault="00631B3F" w:rsidP="00EE3179">
      <w:pPr>
        <w:ind w:firstLine="709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Обсяг та складові заборони дискримінації. Зобов’язання держави щодо заборони дискримінації.</w:t>
      </w:r>
    </w:p>
    <w:p w:rsidR="00631B3F" w:rsidRPr="00276003" w:rsidRDefault="00631B3F" w:rsidP="00C205E9">
      <w:pPr>
        <w:ind w:firstLine="709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 xml:space="preserve"> Практика Європейського суду з прав людини щодо заборони дискримінації (справа «Пічкур проти України», № 10441/06, 2013р.;</w:t>
      </w:r>
      <w:r>
        <w:rPr>
          <w:sz w:val="28"/>
          <w:szCs w:val="28"/>
          <w:lang w:val="uk-UA"/>
        </w:rPr>
        <w:t xml:space="preserve"> </w:t>
      </w:r>
      <w:r w:rsidRPr="00276003">
        <w:rPr>
          <w:sz w:val="28"/>
          <w:szCs w:val="28"/>
          <w:lang w:val="uk-UA"/>
        </w:rPr>
        <w:t>справа « Д.Н. та інші проти Чеської Республіки», №57325/00, рішення Великої палати 2007 р.)</w:t>
      </w:r>
    </w:p>
    <w:p w:rsidR="00631B3F" w:rsidRPr="00276003" w:rsidRDefault="00631B3F" w:rsidP="00C205E9">
      <w:pPr>
        <w:pStyle w:val="Default"/>
        <w:spacing w:before="100" w:beforeAutospacing="1" w:after="100" w:afterAutospacing="1"/>
        <w:ind w:firstLine="708"/>
        <w:contextualSpacing/>
        <w:jc w:val="both"/>
        <w:rPr>
          <w:b/>
          <w:bCs/>
          <w:sz w:val="28"/>
          <w:szCs w:val="28"/>
        </w:rPr>
      </w:pPr>
      <w:r w:rsidRPr="00276003">
        <w:rPr>
          <w:b/>
          <w:bCs/>
          <w:sz w:val="28"/>
          <w:szCs w:val="28"/>
        </w:rPr>
        <w:t>Право на справедливи</w:t>
      </w:r>
      <w:r>
        <w:rPr>
          <w:b/>
          <w:bCs/>
          <w:sz w:val="28"/>
          <w:szCs w:val="28"/>
        </w:rPr>
        <w:t>й</w:t>
      </w:r>
      <w:r w:rsidRPr="00276003">
        <w:rPr>
          <w:b/>
          <w:bCs/>
          <w:sz w:val="28"/>
          <w:szCs w:val="28"/>
        </w:rPr>
        <w:t xml:space="preserve"> суд та на ефективний засіб юридичного захисту</w:t>
      </w:r>
    </w:p>
    <w:p w:rsidR="00631B3F" w:rsidRPr="00276003" w:rsidRDefault="00631B3F" w:rsidP="00C205E9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Обсяг та складові права на справедливий суд та на ефективний засіб юридичного захисту. Зобов’язання держави щодо права на справедливи</w:t>
      </w:r>
      <w:r>
        <w:rPr>
          <w:sz w:val="28"/>
          <w:szCs w:val="28"/>
        </w:rPr>
        <w:t>й</w:t>
      </w:r>
      <w:r w:rsidRPr="00276003">
        <w:rPr>
          <w:sz w:val="28"/>
          <w:szCs w:val="28"/>
        </w:rPr>
        <w:t xml:space="preserve"> суд та на ефективний засіб юридичного захисту.</w:t>
      </w:r>
    </w:p>
    <w:p w:rsidR="00631B3F" w:rsidRPr="00276003" w:rsidRDefault="00631B3F" w:rsidP="00276003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 xml:space="preserve"> Практика Європейського суду з прав людини щодо права на справедливий суд та на ефективний засіб юридичного захисту (справа «Олександр Волков проти України», № 21722/11, рішення Великої палати  2013 р.; справа «</w:t>
      </w:r>
      <w:proofErr w:type="spellStart"/>
      <w:r w:rsidRPr="00276003">
        <w:rPr>
          <w:sz w:val="28"/>
          <w:szCs w:val="28"/>
        </w:rPr>
        <w:t>Бурмич</w:t>
      </w:r>
      <w:proofErr w:type="spellEnd"/>
      <w:r w:rsidRPr="00276003">
        <w:rPr>
          <w:sz w:val="28"/>
          <w:szCs w:val="28"/>
        </w:rPr>
        <w:t xml:space="preserve"> та інші проти України», №№46852/13, 47786/13. 54125/13, рішення Великої палати 2017р.)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EE3179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Правомірне обмеження прав людини та відступ держав від своїх зобов’язань у сфері прав людини під час надзвичайного стану, становища або ситуацій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Правомірне обмеження прав людини. Відступ держави від своїх зобов’язань у сфері прав людини за надзвичайних станів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EE3179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Міжнародний захист  прав людини під час збройних конфліктів</w:t>
      </w:r>
    </w:p>
    <w:p w:rsidR="00631B3F" w:rsidRPr="00276003" w:rsidRDefault="00631B3F" w:rsidP="00C205E9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Застосування міжнародних стандар</w:t>
      </w:r>
      <w:r>
        <w:rPr>
          <w:sz w:val="28"/>
          <w:szCs w:val="28"/>
          <w:lang w:val="uk-UA"/>
        </w:rPr>
        <w:t>т</w:t>
      </w:r>
      <w:r w:rsidRPr="00276003">
        <w:rPr>
          <w:sz w:val="28"/>
          <w:szCs w:val="28"/>
          <w:lang w:val="uk-UA"/>
        </w:rPr>
        <w:t>ів прав людини у період збройних конфліктів.</w:t>
      </w:r>
      <w:r>
        <w:rPr>
          <w:sz w:val="28"/>
          <w:szCs w:val="28"/>
          <w:lang w:val="uk-UA"/>
        </w:rPr>
        <w:t xml:space="preserve"> </w:t>
      </w:r>
      <w:r w:rsidRPr="00276003">
        <w:rPr>
          <w:sz w:val="28"/>
          <w:szCs w:val="28"/>
          <w:lang w:val="uk-UA"/>
        </w:rPr>
        <w:t>Захист поранених і хворих у діючих арміях. Захист поранених, хворих та осіб</w:t>
      </w:r>
      <w:r w:rsidR="001C7624">
        <w:rPr>
          <w:sz w:val="28"/>
          <w:szCs w:val="28"/>
          <w:lang w:val="uk-UA"/>
        </w:rPr>
        <w:t>,</w:t>
      </w:r>
      <w:r w:rsidRPr="00276003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і</w:t>
      </w:r>
      <w:r w:rsidRPr="00276003">
        <w:rPr>
          <w:sz w:val="28"/>
          <w:szCs w:val="28"/>
          <w:lang w:val="uk-UA"/>
        </w:rPr>
        <w:t xml:space="preserve"> зазнали корабельної аварії, зі складу зб</w:t>
      </w:r>
      <w:r>
        <w:rPr>
          <w:sz w:val="28"/>
          <w:szCs w:val="28"/>
          <w:lang w:val="uk-UA"/>
        </w:rPr>
        <w:t>р</w:t>
      </w:r>
      <w:r w:rsidRPr="00276003">
        <w:rPr>
          <w:sz w:val="28"/>
          <w:szCs w:val="28"/>
          <w:lang w:val="uk-UA"/>
        </w:rPr>
        <w:t xml:space="preserve">ойних сил на морі. Захист військовополонених. Захист  цивільного населення під час війни. Захист жінок та дітей під час війни. 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90246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11164C">
      <w:pPr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E37D46">
      <w:pPr>
        <w:rPr>
          <w:b/>
          <w:sz w:val="28"/>
          <w:szCs w:val="28"/>
          <w:lang w:val="uk-UA"/>
        </w:rPr>
      </w:pPr>
      <w:r w:rsidRPr="00276003">
        <w:rPr>
          <w:b/>
          <w:sz w:val="28"/>
          <w:szCs w:val="28"/>
          <w:lang w:val="uk-UA"/>
        </w:rPr>
        <w:t>Керівник курсу</w:t>
      </w:r>
    </w:p>
    <w:p w:rsidR="00631B3F" w:rsidRPr="00276003" w:rsidRDefault="00631B3F" w:rsidP="00E37D46">
      <w:pPr>
        <w:rPr>
          <w:sz w:val="28"/>
          <w:szCs w:val="28"/>
          <w:lang w:val="uk-UA"/>
        </w:rPr>
      </w:pPr>
      <w:r w:rsidRPr="00276003">
        <w:rPr>
          <w:bCs/>
          <w:sz w:val="28"/>
          <w:szCs w:val="28"/>
          <w:lang w:val="uk-UA"/>
        </w:rPr>
        <w:t xml:space="preserve">Ст. викладач                                                                                          </w:t>
      </w:r>
      <w:proofErr w:type="spellStart"/>
      <w:r w:rsidRPr="00276003">
        <w:rPr>
          <w:bCs/>
          <w:sz w:val="28"/>
          <w:szCs w:val="28"/>
          <w:lang w:val="uk-UA"/>
        </w:rPr>
        <w:t>Кульчак</w:t>
      </w:r>
      <w:proofErr w:type="spellEnd"/>
      <w:r w:rsidRPr="00276003">
        <w:rPr>
          <w:bCs/>
          <w:sz w:val="28"/>
          <w:szCs w:val="28"/>
          <w:lang w:val="uk-UA"/>
        </w:rPr>
        <w:t xml:space="preserve"> Л.С.  </w:t>
      </w:r>
    </w:p>
    <w:p w:rsidR="00631B3F" w:rsidRPr="00276003" w:rsidRDefault="00631B3F" w:rsidP="0011164C">
      <w:pPr>
        <w:spacing w:line="360" w:lineRule="auto"/>
        <w:ind w:firstLine="708"/>
        <w:jc w:val="both"/>
        <w:rPr>
          <w:b/>
          <w:bCs/>
          <w:sz w:val="28"/>
          <w:szCs w:val="28"/>
          <w:lang w:val="uk-UA"/>
        </w:rPr>
      </w:pPr>
    </w:p>
    <w:sectPr w:rsidR="00631B3F" w:rsidRPr="00276003" w:rsidSect="00A45014">
      <w:headerReference w:type="default" r:id="rId6"/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B3F" w:rsidRDefault="00631B3F" w:rsidP="00A45014">
      <w:r>
        <w:separator/>
      </w:r>
    </w:p>
  </w:endnote>
  <w:endnote w:type="continuationSeparator" w:id="0">
    <w:p w:rsidR="00631B3F" w:rsidRDefault="00631B3F" w:rsidP="00A4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B3F" w:rsidRDefault="00631B3F" w:rsidP="00A45014">
      <w:r>
        <w:separator/>
      </w:r>
    </w:p>
  </w:footnote>
  <w:footnote w:type="continuationSeparator" w:id="0">
    <w:p w:rsidR="00631B3F" w:rsidRDefault="00631B3F" w:rsidP="00A45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B3F" w:rsidRDefault="00C146AC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631B3F" w:rsidRDefault="00631B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6924"/>
    <w:rsid w:val="0003158B"/>
    <w:rsid w:val="000321BF"/>
    <w:rsid w:val="00050F79"/>
    <w:rsid w:val="00053C08"/>
    <w:rsid w:val="00092BEC"/>
    <w:rsid w:val="0011164C"/>
    <w:rsid w:val="00183D31"/>
    <w:rsid w:val="00192F03"/>
    <w:rsid w:val="001C7624"/>
    <w:rsid w:val="001F1350"/>
    <w:rsid w:val="0023700C"/>
    <w:rsid w:val="00240361"/>
    <w:rsid w:val="00276003"/>
    <w:rsid w:val="002B35FB"/>
    <w:rsid w:val="002E0441"/>
    <w:rsid w:val="0030720B"/>
    <w:rsid w:val="0033113B"/>
    <w:rsid w:val="003322E9"/>
    <w:rsid w:val="00375164"/>
    <w:rsid w:val="003820F3"/>
    <w:rsid w:val="004103DD"/>
    <w:rsid w:val="00436016"/>
    <w:rsid w:val="004A0FFF"/>
    <w:rsid w:val="004C3275"/>
    <w:rsid w:val="004C7A5F"/>
    <w:rsid w:val="00500F8D"/>
    <w:rsid w:val="005027A1"/>
    <w:rsid w:val="0056177E"/>
    <w:rsid w:val="00571D97"/>
    <w:rsid w:val="0059063C"/>
    <w:rsid w:val="00631B3F"/>
    <w:rsid w:val="00632749"/>
    <w:rsid w:val="00647CC1"/>
    <w:rsid w:val="00657854"/>
    <w:rsid w:val="00675DCB"/>
    <w:rsid w:val="00706924"/>
    <w:rsid w:val="00773096"/>
    <w:rsid w:val="007A2AE4"/>
    <w:rsid w:val="007E17E7"/>
    <w:rsid w:val="0085448D"/>
    <w:rsid w:val="0089176D"/>
    <w:rsid w:val="008A7B22"/>
    <w:rsid w:val="008E2096"/>
    <w:rsid w:val="00902464"/>
    <w:rsid w:val="00990BD9"/>
    <w:rsid w:val="00A24F38"/>
    <w:rsid w:val="00A45014"/>
    <w:rsid w:val="00A64818"/>
    <w:rsid w:val="00AC48DB"/>
    <w:rsid w:val="00C146AC"/>
    <w:rsid w:val="00C205E9"/>
    <w:rsid w:val="00C6718B"/>
    <w:rsid w:val="00C9019F"/>
    <w:rsid w:val="00CE33ED"/>
    <w:rsid w:val="00CF02DE"/>
    <w:rsid w:val="00D17D6F"/>
    <w:rsid w:val="00D254C5"/>
    <w:rsid w:val="00D47743"/>
    <w:rsid w:val="00DE64A2"/>
    <w:rsid w:val="00E37D46"/>
    <w:rsid w:val="00ED0CDE"/>
    <w:rsid w:val="00EE3179"/>
    <w:rsid w:val="00F34ED0"/>
    <w:rsid w:val="00F66AE2"/>
    <w:rsid w:val="00FA232B"/>
    <w:rsid w:val="00FC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76327"/>
  <w15:docId w15:val="{6795BB3E-6B44-44AD-AC0E-F34A0893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BD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069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  <w:style w:type="character" w:styleId="a3">
    <w:name w:val="Subtle Emphasis"/>
    <w:basedOn w:val="a0"/>
    <w:uiPriority w:val="99"/>
    <w:qFormat/>
    <w:rsid w:val="00706924"/>
    <w:rPr>
      <w:rFonts w:cs="Times New Roman"/>
      <w:i/>
      <w:iCs/>
      <w:color w:val="808080"/>
    </w:rPr>
  </w:style>
  <w:style w:type="paragraph" w:styleId="a4">
    <w:name w:val="header"/>
    <w:basedOn w:val="a"/>
    <w:link w:val="a5"/>
    <w:uiPriority w:val="99"/>
    <w:rsid w:val="00A4501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45014"/>
    <w:rPr>
      <w:rFonts w:ascii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semiHidden/>
    <w:rsid w:val="00A45014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45014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1181</Words>
  <Characters>7472</Characters>
  <Application>Microsoft Office Word</Application>
  <DocSecurity>0</DocSecurity>
  <Lines>62</Lines>
  <Paragraphs>17</Paragraphs>
  <ScaleCrop>false</ScaleCrop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29</cp:revision>
  <cp:lastPrinted>2019-03-30T13:18:00Z</cp:lastPrinted>
  <dcterms:created xsi:type="dcterms:W3CDTF">2019-03-30T04:27:00Z</dcterms:created>
  <dcterms:modified xsi:type="dcterms:W3CDTF">2021-04-18T17:48:00Z</dcterms:modified>
</cp:coreProperties>
</file>