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ДВНЗ «ПРИКАРПАТСЬКИЙ НАЦІОНАЛЬНИЙ УНІВЕРСИТЕТ</w:t>
      </w:r>
    </w:p>
    <w:p w:rsidR="006D5073" w:rsidRPr="006F7F05" w:rsidRDefault="006D5073" w:rsidP="002D3EB8">
      <w:pPr>
        <w:jc w:val="center"/>
        <w:rPr>
          <w:b/>
          <w:sz w:val="28"/>
          <w:szCs w:val="28"/>
          <w:lang w:val="uk-UA"/>
        </w:rPr>
      </w:pPr>
      <w:r w:rsidRPr="006F7F05">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521122" w:rsidRDefault="00521122" w:rsidP="00C7457D">
      <w:pPr>
        <w:rPr>
          <w:sz w:val="28"/>
          <w:szCs w:val="28"/>
          <w:lang w:val="uk-UA"/>
        </w:rPr>
      </w:pPr>
    </w:p>
    <w:p w:rsidR="00C7457D" w:rsidRPr="00C7457D" w:rsidRDefault="00C7457D" w:rsidP="00C7457D">
      <w:pPr>
        <w:rPr>
          <w:sz w:val="28"/>
          <w:szCs w:val="28"/>
          <w:lang w:val="uk-UA"/>
        </w:rPr>
      </w:pPr>
      <w:bookmarkStart w:id="0" w:name="_GoBack"/>
      <w:bookmarkEnd w:id="0"/>
      <w:r w:rsidRPr="00C7457D">
        <w:rPr>
          <w:sz w:val="28"/>
          <w:szCs w:val="28"/>
          <w:lang w:val="uk-UA"/>
        </w:rPr>
        <w:t>Рівень вищої освіти – перший (бакалаврський)</w:t>
      </w:r>
    </w:p>
    <w:p w:rsidR="00C7457D" w:rsidRPr="00C7457D" w:rsidRDefault="00C7457D" w:rsidP="00C7457D">
      <w:pPr>
        <w:rPr>
          <w:sz w:val="28"/>
          <w:szCs w:val="28"/>
          <w:lang w:val="uk-UA"/>
        </w:rPr>
      </w:pPr>
      <w:r w:rsidRPr="00C7457D">
        <w:rPr>
          <w:sz w:val="28"/>
          <w:szCs w:val="28"/>
          <w:lang w:val="uk-UA"/>
        </w:rPr>
        <w:t xml:space="preserve">                           Освітня </w:t>
      </w:r>
      <w:r w:rsidRPr="00C7457D">
        <w:rPr>
          <w:sz w:val="28"/>
          <w:szCs w:val="28"/>
        </w:rPr>
        <w:t>про</w:t>
      </w:r>
      <w:r w:rsidRPr="00C7457D">
        <w:rPr>
          <w:sz w:val="28"/>
          <w:szCs w:val="28"/>
          <w:lang w:val="uk-UA"/>
        </w:rPr>
        <w:t>грама Право</w:t>
      </w:r>
    </w:p>
    <w:p w:rsidR="00C7457D" w:rsidRPr="00C7457D" w:rsidRDefault="00C7457D" w:rsidP="00C7457D">
      <w:pPr>
        <w:rPr>
          <w:sz w:val="28"/>
          <w:szCs w:val="28"/>
          <w:lang w:val="uk-UA"/>
        </w:rPr>
      </w:pPr>
      <w:r w:rsidRPr="00C7457D">
        <w:rPr>
          <w:sz w:val="28"/>
          <w:szCs w:val="28"/>
          <w:lang w:val="uk-UA"/>
        </w:rPr>
        <w:t xml:space="preserve">                           Спеціальність 081 Право</w:t>
      </w:r>
    </w:p>
    <w:p w:rsidR="00C7457D" w:rsidRPr="00C7457D" w:rsidRDefault="00C7457D" w:rsidP="00C7457D">
      <w:pPr>
        <w:rPr>
          <w:sz w:val="28"/>
          <w:szCs w:val="28"/>
          <w:lang w:val="uk-UA"/>
        </w:rPr>
      </w:pPr>
      <w:r w:rsidRPr="00C7457D">
        <w:rPr>
          <w:sz w:val="28"/>
          <w:szCs w:val="28"/>
          <w:lang w:val="uk-UA"/>
        </w:rPr>
        <w:t xml:space="preserve">                           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1853B1" w:rsidP="002D3EB8">
      <w:pPr>
        <w:jc w:val="right"/>
        <w:rPr>
          <w:sz w:val="28"/>
          <w:szCs w:val="28"/>
          <w:lang w:val="uk-UA"/>
        </w:rPr>
      </w:pPr>
      <w:r>
        <w:rPr>
          <w:sz w:val="28"/>
          <w:szCs w:val="28"/>
          <w:lang w:val="uk-UA"/>
        </w:rPr>
        <w:t>Протокол №2</w:t>
      </w:r>
      <w:r w:rsidR="006D5073" w:rsidRPr="006F7F05">
        <w:rPr>
          <w:sz w:val="28"/>
          <w:szCs w:val="28"/>
          <w:lang w:val="uk-UA"/>
        </w:rPr>
        <w:t xml:space="preserve"> від 3</w:t>
      </w:r>
      <w:r w:rsidR="00A54CB5">
        <w:rPr>
          <w:sz w:val="28"/>
          <w:szCs w:val="28"/>
          <w:lang w:val="uk-UA"/>
        </w:rPr>
        <w:t>1</w:t>
      </w:r>
      <w:r>
        <w:rPr>
          <w:sz w:val="28"/>
          <w:szCs w:val="28"/>
          <w:lang w:val="uk-UA"/>
        </w:rPr>
        <w:t xml:space="preserve"> </w:t>
      </w:r>
      <w:r w:rsidR="006D5073" w:rsidRPr="006F7F05">
        <w:rPr>
          <w:sz w:val="28"/>
          <w:szCs w:val="28"/>
          <w:lang w:val="uk-UA"/>
        </w:rPr>
        <w:t>серпня 20</w:t>
      </w:r>
      <w:r>
        <w:rPr>
          <w:sz w:val="28"/>
          <w:szCs w:val="28"/>
          <w:lang w:val="uk-UA"/>
        </w:rPr>
        <w:t>20</w:t>
      </w:r>
      <w:r w:rsidR="006D5073" w:rsidRPr="006F7F05">
        <w:rPr>
          <w:sz w:val="28"/>
          <w:szCs w:val="28"/>
          <w:lang w:val="uk-UA"/>
        </w:rPr>
        <w:t xml:space="preserve">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r w:rsidRPr="006F7F05">
        <w:rPr>
          <w:sz w:val="28"/>
          <w:szCs w:val="28"/>
          <w:lang w:val="uk-UA"/>
        </w:rPr>
        <w:t>м. Івано-Франківськ - 20</w:t>
      </w:r>
      <w:r w:rsidR="001853B1">
        <w:rPr>
          <w:sz w:val="28"/>
          <w:szCs w:val="28"/>
          <w:lang w:val="uk-UA"/>
        </w:rPr>
        <w:t>20</w:t>
      </w:r>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521122">
      <w:pPr>
        <w:rPr>
          <w:b/>
          <w:sz w:val="28"/>
          <w:szCs w:val="28"/>
          <w:lang w:val="uk-UA"/>
        </w:rPr>
      </w:pPr>
    </w:p>
    <w:p w:rsidR="00521122" w:rsidRDefault="00521122" w:rsidP="00521122">
      <w:pPr>
        <w:rPr>
          <w:b/>
          <w:sz w:val="28"/>
          <w:szCs w:val="28"/>
          <w:lang w:val="uk-UA"/>
        </w:rPr>
      </w:pPr>
    </w:p>
    <w:p w:rsidR="006D5073" w:rsidRPr="006F7F05" w:rsidRDefault="006D5073" w:rsidP="002D3EB8">
      <w:pPr>
        <w:spacing w:line="360" w:lineRule="auto"/>
        <w:ind w:firstLine="567"/>
        <w:jc w:val="center"/>
        <w:rPr>
          <w:b/>
          <w:sz w:val="28"/>
          <w:szCs w:val="28"/>
          <w:lang w:val="uk-UA"/>
        </w:rPr>
      </w:pPr>
    </w:p>
    <w:p w:rsidR="001853B1" w:rsidRPr="00B2366A" w:rsidRDefault="001853B1" w:rsidP="001853B1">
      <w:pPr>
        <w:spacing w:line="360" w:lineRule="auto"/>
        <w:ind w:firstLine="567"/>
        <w:jc w:val="center"/>
        <w:rPr>
          <w:b/>
          <w:sz w:val="28"/>
          <w:szCs w:val="28"/>
          <w:lang w:val="uk-UA"/>
        </w:rPr>
      </w:pPr>
    </w:p>
    <w:p w:rsidR="00391A9F" w:rsidRPr="0041459C" w:rsidRDefault="00391A9F" w:rsidP="00391A9F">
      <w:pPr>
        <w:jc w:val="center"/>
        <w:rPr>
          <w:b/>
          <w:sz w:val="28"/>
          <w:szCs w:val="28"/>
          <w:lang w:val="uk-UA"/>
        </w:rPr>
      </w:pPr>
      <w:r w:rsidRPr="0041459C">
        <w:rPr>
          <w:b/>
          <w:sz w:val="28"/>
          <w:szCs w:val="28"/>
          <w:lang w:val="uk-UA"/>
        </w:rPr>
        <w:t>ЗМІСТ</w:t>
      </w:r>
    </w:p>
    <w:p w:rsidR="00391A9F" w:rsidRPr="00B2366A" w:rsidRDefault="00391A9F" w:rsidP="00391A9F">
      <w:pPr>
        <w:spacing w:line="360" w:lineRule="auto"/>
        <w:ind w:firstLine="567"/>
        <w:jc w:val="center"/>
        <w:rPr>
          <w:b/>
          <w:sz w:val="28"/>
          <w:szCs w:val="28"/>
          <w:lang w:val="uk-UA"/>
        </w:rPr>
      </w:pPr>
    </w:p>
    <w:p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w:t>
            </w:r>
            <w:proofErr w:type="spellStart"/>
            <w:r w:rsidRPr="008467ED">
              <w:rPr>
                <w:lang w:val="uk-UA"/>
              </w:rPr>
              <w:t>к.ю.н</w:t>
            </w:r>
            <w:proofErr w:type="spellEnd"/>
            <w:r w:rsidRPr="008467ED">
              <w:rPr>
                <w:lang w:val="uk-UA"/>
              </w:rPr>
              <w:t xml:space="preserve">., доцент кафедри кримінального права </w:t>
            </w:r>
          </w:p>
          <w:p w:rsidR="006D5073" w:rsidRPr="008467ED" w:rsidRDefault="006D5073" w:rsidP="008467ED">
            <w:pPr>
              <w:jc w:val="both"/>
              <w:rPr>
                <w:lang w:val="uk-UA"/>
              </w:rPr>
            </w:pPr>
            <w:proofErr w:type="spellStart"/>
            <w:r w:rsidRPr="008467ED">
              <w:rPr>
                <w:lang w:val="uk-UA"/>
              </w:rPr>
              <w:t>Кульчак</w:t>
            </w:r>
            <w:proofErr w:type="spellEnd"/>
            <w:r w:rsidRPr="008467ED">
              <w:rPr>
                <w:lang w:val="uk-UA"/>
              </w:rPr>
              <w:t xml:space="preserve">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proofErr w:type="spellStart"/>
            <w:r w:rsidRPr="008467ED">
              <w:rPr>
                <w:lang w:val="uk-UA"/>
              </w:rPr>
              <w:t>Кульчак</w:t>
            </w:r>
            <w:proofErr w:type="spellEnd"/>
            <w:r w:rsidRPr="008467ED">
              <w:rPr>
                <w:lang w:val="uk-UA"/>
              </w:rPr>
              <w:t xml:space="preserve">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w:t>
            </w:r>
            <w:proofErr w:type="spellStart"/>
            <w:r w:rsidRPr="008467ED">
              <w:rPr>
                <w:b/>
                <w:sz w:val="22"/>
                <w:szCs w:val="22"/>
                <w:lang w:val="uk-UA"/>
              </w:rPr>
              <w:t>mail</w:t>
            </w:r>
            <w:proofErr w:type="spellEnd"/>
            <w:r w:rsidRPr="008467ED">
              <w:rPr>
                <w:b/>
                <w:sz w:val="22"/>
                <w:szCs w:val="22"/>
                <w:lang w:val="uk-UA"/>
              </w:rPr>
              <w:t xml:space="preserve">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proofErr w:type="spellStart"/>
            <w:r w:rsidRPr="00BB18DE">
              <w:rPr>
                <w:color w:val="0000FF"/>
                <w:u w:val="single"/>
                <w:lang w:val="en-US"/>
              </w:rPr>
              <w:t>mykytyn</w:t>
            </w:r>
            <w:proofErr w:type="spellEnd"/>
            <w:r w:rsidRPr="00BB18DE">
              <w:rPr>
                <w:color w:val="0000FF"/>
                <w:u w:val="single"/>
              </w:rPr>
              <w:t>.</w:t>
            </w:r>
            <w:proofErr w:type="spellStart"/>
            <w:r w:rsidRPr="00BB18DE">
              <w:rPr>
                <w:color w:val="0000FF"/>
                <w:u w:val="single"/>
                <w:lang w:val="en-US"/>
              </w:rPr>
              <w:t>yurii</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rsidR="006D5073" w:rsidRPr="00BB18DE" w:rsidRDefault="006D5073" w:rsidP="00D05039">
            <w:pPr>
              <w:jc w:val="both"/>
              <w:rPr>
                <w:color w:val="0000FF"/>
                <w:u w:val="single"/>
                <w:lang w:val="uk-UA"/>
              </w:rPr>
            </w:pPr>
            <w:proofErr w:type="spellStart"/>
            <w:r w:rsidRPr="008467ED">
              <w:rPr>
                <w:lang w:val="uk-UA"/>
              </w:rPr>
              <w:t>Кульчак</w:t>
            </w:r>
            <w:proofErr w:type="spellEnd"/>
            <w:r w:rsidRPr="008467ED">
              <w:rPr>
                <w:lang w:val="uk-UA"/>
              </w:rPr>
              <w:t xml:space="preserve"> Леся Степанівна </w:t>
            </w:r>
            <w:proofErr w:type="spellStart"/>
            <w:r w:rsidRPr="00BB18DE">
              <w:rPr>
                <w:color w:val="0000FF"/>
                <w:u w:val="single"/>
                <w:lang w:val="en-US"/>
              </w:rPr>
              <w:t>lesia</w:t>
            </w:r>
            <w:proofErr w:type="spellEnd"/>
            <w:r w:rsidRPr="00BB18DE">
              <w:rPr>
                <w:color w:val="0000FF"/>
                <w:u w:val="single"/>
                <w:lang w:val="uk-UA"/>
              </w:rPr>
              <w:t>.</w:t>
            </w:r>
            <w:proofErr w:type="spellStart"/>
            <w:r w:rsidRPr="00BB18DE">
              <w:rPr>
                <w:color w:val="0000FF"/>
                <w:u w:val="single"/>
                <w:lang w:val="en-US"/>
              </w:rPr>
              <w:t>kulchak</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A54CB5"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521122" w:rsidP="008467ED">
            <w:pPr>
              <w:jc w:val="both"/>
              <w:rPr>
                <w:lang w:val="uk-UA"/>
              </w:rPr>
            </w:pPr>
            <w:hyperlink r:id="rId6" w:tgtFrame="_blank" w:history="1">
              <w:r w:rsidR="006D5073" w:rsidRPr="008467ED">
                <w:rPr>
                  <w:rStyle w:val="a5"/>
                  <w:color w:val="365F91"/>
                  <w:lang w:val="uk-UA"/>
                </w:rPr>
                <w:t>http://www.d-learn.pu.if.ua</w:t>
              </w:r>
            </w:hyperlink>
          </w:p>
        </w:tc>
      </w:tr>
      <w:tr w:rsidR="006D5073" w:rsidRPr="00A54CB5"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rsidTr="008467ED">
        <w:tc>
          <w:tcPr>
            <w:tcW w:w="9606" w:type="dxa"/>
            <w:gridSpan w:val="9"/>
          </w:tcPr>
          <w:p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391A9F" w:rsidRPr="00BF3C8A" w:rsidRDefault="00391A9F" w:rsidP="00391A9F">
            <w:pPr>
              <w:ind w:firstLine="284"/>
              <w:rPr>
                <w:lang w:val="uk-UA"/>
              </w:rPr>
            </w:pPr>
            <w:r w:rsidRPr="00BF3C8A">
              <w:rPr>
                <w:lang w:val="uk-UA"/>
              </w:rPr>
              <w:t>1. Кримінальне процесуальне право: загальна частина.</w:t>
            </w:r>
          </w:p>
          <w:p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rsidR="00391A9F" w:rsidRPr="00BF3C8A" w:rsidRDefault="00391A9F" w:rsidP="00391A9F">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391A9F" w:rsidRPr="00BF3C8A" w:rsidRDefault="00391A9F" w:rsidP="00391A9F">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391A9F" w:rsidRPr="00BF3C8A" w:rsidRDefault="00391A9F" w:rsidP="00391A9F">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w:t>
            </w:r>
            <w:r w:rsidRPr="00BF3C8A">
              <w:rPr>
                <w:lang w:val="uk-UA"/>
              </w:rPr>
              <w:lastRenderedPageBreak/>
              <w:t>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391A9F" w:rsidRPr="006F7F05" w:rsidTr="008467ED">
        <w:tc>
          <w:tcPr>
            <w:tcW w:w="9606" w:type="dxa"/>
            <w:gridSpan w:val="9"/>
          </w:tcPr>
          <w:p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rsidTr="008467ED">
        <w:tc>
          <w:tcPr>
            <w:tcW w:w="9606" w:type="dxa"/>
            <w:gridSpan w:val="9"/>
          </w:tcPr>
          <w:p w:rsidR="00391A9F" w:rsidRPr="00BF3C8A" w:rsidRDefault="00391A9F" w:rsidP="007D23A8">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до логічного, критичного і системного аналізу документів, розуміння їх правового характеру і значення.</w:t>
            </w:r>
          </w:p>
          <w:p w:rsidR="00391A9F" w:rsidRPr="00BF3C8A" w:rsidRDefault="00391A9F" w:rsidP="007D23A8">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391A9F" w:rsidRPr="00BF3C8A" w:rsidRDefault="00391A9F" w:rsidP="007D23A8">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2C317D" w:rsidRPr="006F7F05" w:rsidTr="008467ED">
        <w:trPr>
          <w:trHeight w:val="514"/>
        </w:trPr>
        <w:tc>
          <w:tcPr>
            <w:tcW w:w="6232" w:type="dxa"/>
            <w:gridSpan w:val="6"/>
            <w:vMerge w:val="restart"/>
          </w:tcPr>
          <w:p w:rsidR="002C317D" w:rsidRPr="008467ED" w:rsidRDefault="002C317D" w:rsidP="00B902F8">
            <w:pPr>
              <w:rPr>
                <w:lang w:val="uk-UA"/>
              </w:rPr>
            </w:pPr>
            <w:r w:rsidRPr="008467ED">
              <w:rPr>
                <w:lang w:val="uk-UA"/>
              </w:rPr>
              <w:t>Тема № 5.Фіксування кримінального провадження. Процесуальні рішення. Повідомлення.</w:t>
            </w:r>
          </w:p>
          <w:p w:rsidR="002C317D" w:rsidRPr="008467ED" w:rsidRDefault="002C317D" w:rsidP="00B902F8">
            <w:pPr>
              <w:rPr>
                <w:lang w:val="uk-UA"/>
              </w:rPr>
            </w:pPr>
            <w:r w:rsidRPr="008467ED">
              <w:rPr>
                <w:lang w:val="uk-UA"/>
              </w:rPr>
              <w:t>Процесуальні строки і витрати.</w:t>
            </w: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lang w:val="uk-UA"/>
              </w:rPr>
            </w:pPr>
            <w:r w:rsidRPr="008467ED">
              <w:rPr>
                <w:lang w:val="uk-UA"/>
              </w:rPr>
              <w:t>8</w:t>
            </w:r>
          </w:p>
        </w:tc>
      </w:tr>
      <w:tr w:rsidR="002C317D" w:rsidRPr="006F7F05" w:rsidTr="008467ED">
        <w:trPr>
          <w:trHeight w:val="266"/>
        </w:trPr>
        <w:tc>
          <w:tcPr>
            <w:tcW w:w="6232" w:type="dxa"/>
            <w:gridSpan w:val="6"/>
            <w:vMerge/>
          </w:tcPr>
          <w:p w:rsidR="002C317D" w:rsidRPr="008467ED" w:rsidRDefault="002C317D" w:rsidP="00B902F8">
            <w:pPr>
              <w:rPr>
                <w:lang w:val="uk-UA"/>
              </w:rPr>
            </w:pP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lastRenderedPageBreak/>
              <w:t xml:space="preserve">Тема № </w:t>
            </w:r>
            <w:r w:rsidR="002C317D">
              <w:rPr>
                <w:lang w:val="uk-UA"/>
              </w:rPr>
              <w:t>7</w:t>
            </w:r>
            <w:r w:rsidRPr="008467ED">
              <w:rPr>
                <w:lang w:val="uk-UA"/>
              </w:rPr>
              <w:t>.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7" w:history="1">
              <w:r w:rsidRPr="008467ED">
                <w:rPr>
                  <w:rStyle w:val="a5"/>
                  <w:lang w:val="uk-UA"/>
                </w:rPr>
                <w:t>https://law.pnu.edu.ua/організація-навчального-процесу/</w:t>
              </w:r>
            </w:hyperlink>
            <w:r w:rsidRPr="008467ED">
              <w:rPr>
                <w:i/>
                <w:iCs/>
                <w:lang w:val="uk-UA"/>
              </w:rPr>
              <w:t>.</w:t>
            </w: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8467ED">
              <w:rPr>
                <w:lang w:val="uk-UA"/>
              </w:rPr>
              <w:t>академгрупи</w:t>
            </w:r>
            <w:proofErr w:type="spellEnd"/>
            <w:r w:rsidRPr="008467ED">
              <w:rPr>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8"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 xml:space="preserve">Система оцінювання семінарських занять визначена </w:t>
            </w:r>
            <w:proofErr w:type="spellStart"/>
            <w:r w:rsidRPr="008467ED">
              <w:rPr>
                <w:lang w:val="uk-UA"/>
              </w:rPr>
              <w:t>п.п</w:t>
            </w:r>
            <w:proofErr w:type="spellEnd"/>
            <w:r w:rsidRPr="008467ED">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2C317D">
        <w:trPr>
          <w:trHeight w:val="690"/>
        </w:trPr>
        <w:tc>
          <w:tcPr>
            <w:tcW w:w="1898" w:type="dxa"/>
            <w:gridSpan w:val="2"/>
          </w:tcPr>
          <w:p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8467ED">
        <w:trPr>
          <w:trHeight w:val="690"/>
        </w:trPr>
        <w:tc>
          <w:tcPr>
            <w:tcW w:w="1898" w:type="dxa"/>
            <w:gridSpan w:val="2"/>
          </w:tcPr>
          <w:p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2C317D" w:rsidRPr="002C317D" w:rsidRDefault="002C317D" w:rsidP="002C317D">
            <w:pPr>
              <w:jc w:val="both"/>
              <w:rPr>
                <w:iCs/>
                <w:lang w:val="uk-UA"/>
              </w:rPr>
            </w:pPr>
            <w:r w:rsidRPr="002C317D">
              <w:rPr>
                <w:iCs/>
                <w:lang w:val="uk-UA"/>
              </w:rPr>
              <w:lastRenderedPageBreak/>
              <w:t>На залік виноситься 4 описових питання, які оцінюються: 1 і 2 питання по 20 балів; 3 і 4 питання оцінюються по 30 балів. В сукупності – 100 балів.</w:t>
            </w:r>
          </w:p>
          <w:p w:rsidR="002C317D" w:rsidRPr="002C317D" w:rsidRDefault="002C317D" w:rsidP="002C317D">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2C317D" w:rsidRPr="006F7F05" w:rsidTr="008467ED">
        <w:tc>
          <w:tcPr>
            <w:tcW w:w="9606" w:type="dxa"/>
            <w:gridSpan w:val="9"/>
          </w:tcPr>
          <w:p w:rsidR="002C317D" w:rsidRPr="008467ED" w:rsidRDefault="002C317D" w:rsidP="008467ED">
            <w:pPr>
              <w:jc w:val="center"/>
              <w:rPr>
                <w:lang w:val="uk-UA"/>
              </w:rPr>
            </w:pPr>
            <w:r w:rsidRPr="008467ED">
              <w:rPr>
                <w:b/>
                <w:lang w:val="uk-UA"/>
              </w:rPr>
              <w:lastRenderedPageBreak/>
              <w:t>7. Політика курсу</w:t>
            </w:r>
          </w:p>
        </w:tc>
      </w:tr>
      <w:tr w:rsidR="002C317D" w:rsidRPr="00A54CB5" w:rsidTr="008467ED">
        <w:tc>
          <w:tcPr>
            <w:tcW w:w="9606" w:type="dxa"/>
            <w:gridSpan w:val="9"/>
          </w:tcPr>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9" w:history="1">
              <w:r w:rsidRPr="008467ED">
                <w:rPr>
                  <w:rStyle w:val="a5"/>
                  <w:rFonts w:eastAsia="TimesNewRomanPSMT"/>
                  <w:lang w:val="uk-UA" w:eastAsia="en-US"/>
                </w:rPr>
                <w:t>https://ksud.pnu.edu.ua/заочна-форма-навчання/</w:t>
              </w:r>
            </w:hyperlink>
          </w:p>
          <w:p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467ED">
                <w:rPr>
                  <w:rStyle w:val="a5"/>
                  <w:lang w:val="uk-UA"/>
                </w:rPr>
                <w:t>https://pnu.edu.ua/положення-про-запобігання-плагіату/</w:t>
              </w:r>
            </w:hyperlink>
            <w:r w:rsidRPr="008467ED">
              <w:rPr>
                <w:lang w:val="uk-UA"/>
              </w:rPr>
              <w:t>.</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rsidTr="008467ED">
        <w:tc>
          <w:tcPr>
            <w:tcW w:w="9606" w:type="dxa"/>
            <w:gridSpan w:val="9"/>
          </w:tcPr>
          <w:p w:rsidR="002C317D" w:rsidRPr="008467ED" w:rsidRDefault="002C317D" w:rsidP="008467ED">
            <w:pPr>
              <w:jc w:val="center"/>
              <w:rPr>
                <w:b/>
                <w:lang w:val="uk-UA"/>
              </w:rPr>
            </w:pPr>
            <w:r w:rsidRPr="008467ED">
              <w:rPr>
                <w:b/>
                <w:lang w:val="uk-UA"/>
              </w:rPr>
              <w:t>8. Рекомендована література</w:t>
            </w:r>
          </w:p>
        </w:tc>
      </w:tr>
      <w:tr w:rsidR="002C317D" w:rsidRPr="00A54CB5" w:rsidTr="008467ED">
        <w:trPr>
          <w:trHeight w:val="70"/>
        </w:trPr>
        <w:tc>
          <w:tcPr>
            <w:tcW w:w="9606" w:type="dxa"/>
            <w:gridSpan w:val="9"/>
          </w:tcPr>
          <w:p w:rsidR="002C317D" w:rsidRPr="008467ED" w:rsidRDefault="002C317D" w:rsidP="008467ED">
            <w:pPr>
              <w:pStyle w:val="a6"/>
              <w:spacing w:after="0"/>
              <w:ind w:right="109" w:firstLine="567"/>
              <w:jc w:val="both"/>
              <w:rPr>
                <w:lang w:val="uk-UA"/>
              </w:rPr>
            </w:pPr>
            <w:r w:rsidRPr="008467ED">
              <w:rPr>
                <w:lang w:val="uk-UA"/>
              </w:rPr>
              <w:t xml:space="preserve">1. Кримінальний процес : </w:t>
            </w:r>
            <w:proofErr w:type="spellStart"/>
            <w:r w:rsidRPr="008467ED">
              <w:rPr>
                <w:lang w:val="uk-UA"/>
              </w:rPr>
              <w:t>навч</w:t>
            </w:r>
            <w:proofErr w:type="spellEnd"/>
            <w:r w:rsidRPr="008467ED">
              <w:rPr>
                <w:lang w:val="uk-UA"/>
              </w:rPr>
              <w:t xml:space="preserve">. </w:t>
            </w:r>
            <w:proofErr w:type="spellStart"/>
            <w:r w:rsidRPr="008467ED">
              <w:rPr>
                <w:lang w:val="uk-UA"/>
              </w:rPr>
              <w:t>посіб</w:t>
            </w:r>
            <w:proofErr w:type="spellEnd"/>
            <w:r w:rsidRPr="008467ED">
              <w:rPr>
                <w:lang w:val="uk-UA"/>
              </w:rPr>
              <w:t xml:space="preserve">. для підготовки до іспиту / О. В. </w:t>
            </w:r>
            <w:proofErr w:type="spellStart"/>
            <w:r w:rsidRPr="008467ED">
              <w:rPr>
                <w:lang w:val="uk-UA"/>
              </w:rPr>
              <w:t>Капліна</w:t>
            </w:r>
            <w:proofErr w:type="spellEnd"/>
            <w:r w:rsidRPr="008467ED">
              <w:rPr>
                <w:lang w:val="uk-UA"/>
              </w:rPr>
              <w:t xml:space="preserve">, М. О. Карпенко, В. І. </w:t>
            </w:r>
            <w:proofErr w:type="spellStart"/>
            <w:r w:rsidRPr="008467ED">
              <w:rPr>
                <w:lang w:val="uk-UA"/>
              </w:rPr>
              <w:t>Маринів</w:t>
            </w:r>
            <w:proofErr w:type="spellEnd"/>
            <w:r w:rsidRPr="008467ED">
              <w:rPr>
                <w:lang w:val="uk-UA"/>
              </w:rPr>
              <w:t xml:space="preserve"> та ін. – Х. : Право, 2016. – 288 с.</w:t>
            </w:r>
          </w:p>
          <w:p w:rsidR="002C317D" w:rsidRPr="008467ED" w:rsidRDefault="002C317D" w:rsidP="008467ED">
            <w:pPr>
              <w:widowControl w:val="0"/>
              <w:tabs>
                <w:tab w:val="left" w:pos="0"/>
              </w:tabs>
              <w:ind w:firstLine="567"/>
              <w:jc w:val="both"/>
              <w:rPr>
                <w:lang w:val="uk-UA"/>
              </w:rPr>
            </w:pPr>
            <w:r w:rsidRPr="008467ED">
              <w:rPr>
                <w:lang w:val="uk-UA"/>
              </w:rPr>
              <w:tab/>
              <w:t xml:space="preserve">2. Кримінальне процесуальне право України : [навчальний посібник] / За редакцією професорів В. Г. </w:t>
            </w:r>
            <w:proofErr w:type="spellStart"/>
            <w:r w:rsidRPr="008467ED">
              <w:rPr>
                <w:lang w:val="uk-UA"/>
              </w:rPr>
              <w:t>Гончаренка</w:t>
            </w:r>
            <w:proofErr w:type="spellEnd"/>
            <w:r w:rsidRPr="008467ED">
              <w:rPr>
                <w:lang w:val="uk-UA"/>
              </w:rPr>
              <w:t xml:space="preserve"> та В. А. Колесника. – К.: Юстиніан, 2014. – 576 с.</w:t>
            </w:r>
          </w:p>
          <w:p w:rsidR="002C317D" w:rsidRPr="008467ED" w:rsidRDefault="002C317D" w:rsidP="008467ED">
            <w:pPr>
              <w:pStyle w:val="a6"/>
              <w:spacing w:after="0"/>
              <w:ind w:firstLine="567"/>
              <w:jc w:val="both"/>
              <w:rPr>
                <w:lang w:val="uk-UA"/>
              </w:rPr>
            </w:pPr>
            <w:r w:rsidRPr="008467ED">
              <w:rPr>
                <w:lang w:val="uk-UA"/>
              </w:rPr>
              <w:t xml:space="preserve">3. Кримінальний процес в питаннях і відповідях: Загальна і Особлива  частини: </w:t>
            </w:r>
            <w:proofErr w:type="spellStart"/>
            <w:r w:rsidRPr="008467ED">
              <w:rPr>
                <w:lang w:val="uk-UA"/>
              </w:rPr>
              <w:t>навч</w:t>
            </w:r>
            <w:proofErr w:type="spellEnd"/>
            <w:r w:rsidRPr="008467ED">
              <w:rPr>
                <w:lang w:val="uk-UA"/>
              </w:rPr>
              <w:t xml:space="preserve">. </w:t>
            </w:r>
            <w:proofErr w:type="spellStart"/>
            <w:r w:rsidRPr="008467ED">
              <w:rPr>
                <w:lang w:val="uk-UA"/>
              </w:rPr>
              <w:t>посіб</w:t>
            </w:r>
            <w:proofErr w:type="spellEnd"/>
            <w:r w:rsidRPr="008467ED">
              <w:rPr>
                <w:lang w:val="uk-UA"/>
              </w:rPr>
              <w:t xml:space="preserve">. /Л.Д. </w:t>
            </w:r>
            <w:proofErr w:type="spellStart"/>
            <w:r w:rsidRPr="008467ED">
              <w:rPr>
                <w:lang w:val="uk-UA"/>
              </w:rPr>
              <w:t>Удалова</w:t>
            </w:r>
            <w:proofErr w:type="spellEnd"/>
            <w:r w:rsidRPr="008467ED">
              <w:rPr>
                <w:lang w:val="uk-UA"/>
              </w:rPr>
              <w:t xml:space="preserve">, В.В. </w:t>
            </w:r>
            <w:proofErr w:type="spellStart"/>
            <w:r w:rsidRPr="008467ED">
              <w:rPr>
                <w:lang w:val="uk-UA"/>
              </w:rPr>
              <w:t>Рожнова</w:t>
            </w:r>
            <w:proofErr w:type="spellEnd"/>
            <w:r w:rsidRPr="008467ED">
              <w:rPr>
                <w:lang w:val="uk-UA"/>
              </w:rPr>
              <w:t xml:space="preserve">, Д.О. Савицький, О.Ю. </w:t>
            </w:r>
            <w:proofErr w:type="spellStart"/>
            <w:r w:rsidRPr="008467ED">
              <w:rPr>
                <w:lang w:val="uk-UA"/>
              </w:rPr>
              <w:t>Хабло</w:t>
            </w:r>
            <w:proofErr w:type="spellEnd"/>
            <w:r w:rsidRPr="008467ED">
              <w:rPr>
                <w:lang w:val="uk-UA"/>
              </w:rPr>
              <w:t xml:space="preserve">. – 3-тє вид., </w:t>
            </w:r>
            <w:proofErr w:type="spellStart"/>
            <w:r w:rsidRPr="008467ED">
              <w:rPr>
                <w:lang w:val="uk-UA"/>
              </w:rPr>
              <w:t>доповн</w:t>
            </w:r>
            <w:proofErr w:type="spellEnd"/>
            <w:r w:rsidRPr="008467ED">
              <w:rPr>
                <w:lang w:val="uk-UA"/>
              </w:rPr>
              <w:t xml:space="preserve">. і </w:t>
            </w:r>
            <w:proofErr w:type="spellStart"/>
            <w:r w:rsidRPr="008467ED">
              <w:rPr>
                <w:lang w:val="uk-UA"/>
              </w:rPr>
              <w:t>переробл</w:t>
            </w:r>
            <w:proofErr w:type="spellEnd"/>
            <w:r w:rsidRPr="008467ED">
              <w:rPr>
                <w:lang w:val="uk-UA"/>
              </w:rPr>
              <w:t>. – К.: Скіф, 2013. – 250с.</w:t>
            </w:r>
          </w:p>
          <w:p w:rsidR="002C317D" w:rsidRPr="008467ED" w:rsidRDefault="002C317D" w:rsidP="008467ED">
            <w:pPr>
              <w:pStyle w:val="a6"/>
              <w:spacing w:after="0"/>
              <w:ind w:right="103" w:firstLine="567"/>
              <w:jc w:val="both"/>
              <w:rPr>
                <w:lang w:val="uk-UA"/>
              </w:rPr>
            </w:pPr>
            <w:r w:rsidRPr="008467ED">
              <w:rPr>
                <w:lang w:val="uk-UA"/>
              </w:rPr>
              <w:t xml:space="preserve">4. Кримінальний процесуальний кодекс України: Науково-практичний коментар/ за ред. В.Г. </w:t>
            </w:r>
            <w:proofErr w:type="spellStart"/>
            <w:r w:rsidRPr="008467ED">
              <w:rPr>
                <w:lang w:val="uk-UA"/>
              </w:rPr>
              <w:t>Гончаренка</w:t>
            </w:r>
            <w:proofErr w:type="spellEnd"/>
            <w:r w:rsidRPr="008467ED">
              <w:rPr>
                <w:lang w:val="uk-UA"/>
              </w:rPr>
              <w:t xml:space="preserve">, В.Т. Нора, М.Є. </w:t>
            </w:r>
            <w:proofErr w:type="spellStart"/>
            <w:r w:rsidRPr="008467ED">
              <w:rPr>
                <w:lang w:val="uk-UA"/>
              </w:rPr>
              <w:t>Шумила</w:t>
            </w:r>
            <w:proofErr w:type="spellEnd"/>
            <w:r w:rsidRPr="008467ED">
              <w:rPr>
                <w:lang w:val="uk-UA"/>
              </w:rPr>
              <w:t>. – К.: Юстиніан, 2012. – 1217 с.</w:t>
            </w:r>
          </w:p>
          <w:p w:rsidR="002C317D" w:rsidRPr="008467ED" w:rsidRDefault="002C317D" w:rsidP="008467ED">
            <w:pPr>
              <w:pStyle w:val="a6"/>
              <w:spacing w:after="0"/>
              <w:ind w:left="112" w:right="103" w:firstLine="567"/>
              <w:jc w:val="both"/>
              <w:rPr>
                <w:lang w:val="uk-UA"/>
              </w:rPr>
            </w:pPr>
            <w:r w:rsidRPr="008467ED">
              <w:rPr>
                <w:lang w:val="uk-UA"/>
              </w:rPr>
              <w:t xml:space="preserve">5.  </w:t>
            </w:r>
            <w:proofErr w:type="spellStart"/>
            <w:r w:rsidRPr="008467ED">
              <w:rPr>
                <w:lang w:val="uk-UA"/>
              </w:rPr>
              <w:t>Лобойко</w:t>
            </w:r>
            <w:proofErr w:type="spellEnd"/>
            <w:r w:rsidRPr="008467ED">
              <w:rPr>
                <w:lang w:val="uk-UA"/>
              </w:rPr>
              <w:t xml:space="preserve">  Л.  М.  Кримінальний  процес:  Підручник.  –  К.:  Істина,  2014. – 432 с.</w:t>
            </w:r>
          </w:p>
          <w:p w:rsidR="002C317D" w:rsidRPr="008467ED" w:rsidRDefault="002C317D" w:rsidP="008467ED">
            <w:pPr>
              <w:pStyle w:val="a6"/>
              <w:spacing w:after="0"/>
              <w:ind w:right="104" w:firstLine="567"/>
              <w:jc w:val="both"/>
              <w:rPr>
                <w:lang w:val="uk-UA"/>
              </w:rPr>
            </w:pPr>
            <w:r w:rsidRPr="008467ED">
              <w:rPr>
                <w:lang w:val="uk-UA"/>
              </w:rPr>
              <w:t xml:space="preserve">6. Кримінальний процесуальний кодекс України: науково-практичний коментар: у 2 т. Т.2 /Є.М. </w:t>
            </w:r>
            <w:proofErr w:type="spellStart"/>
            <w:r w:rsidRPr="008467ED">
              <w:rPr>
                <w:lang w:val="uk-UA"/>
              </w:rPr>
              <w:t>Блажівський</w:t>
            </w:r>
            <w:proofErr w:type="spellEnd"/>
            <w:r w:rsidRPr="008467ED">
              <w:rPr>
                <w:lang w:val="uk-UA"/>
              </w:rPr>
              <w:t xml:space="preserve">, Ю.М. Грошевий, Ю.М. Дьомін та ін.; за </w:t>
            </w:r>
            <w:proofErr w:type="spellStart"/>
            <w:r w:rsidRPr="008467ED">
              <w:rPr>
                <w:lang w:val="uk-UA"/>
              </w:rPr>
              <w:t>заг</w:t>
            </w:r>
            <w:proofErr w:type="spellEnd"/>
            <w:r w:rsidRPr="008467ED">
              <w:rPr>
                <w:lang w:val="uk-UA"/>
              </w:rPr>
              <w:t xml:space="preserve">. ред. В.Я. </w:t>
            </w:r>
            <w:proofErr w:type="spellStart"/>
            <w:r w:rsidRPr="008467ED">
              <w:rPr>
                <w:lang w:val="uk-UA"/>
              </w:rPr>
              <w:t>Тація</w:t>
            </w:r>
            <w:proofErr w:type="spellEnd"/>
            <w:r w:rsidRPr="008467ED">
              <w:rPr>
                <w:lang w:val="uk-UA"/>
              </w:rPr>
              <w:t xml:space="preserve">, В.П. </w:t>
            </w:r>
            <w:proofErr w:type="spellStart"/>
            <w:r w:rsidRPr="008467ED">
              <w:rPr>
                <w:lang w:val="uk-UA"/>
              </w:rPr>
              <w:t>Пшонки</w:t>
            </w:r>
            <w:proofErr w:type="spellEnd"/>
            <w:r w:rsidRPr="008467ED">
              <w:rPr>
                <w:lang w:val="uk-UA"/>
              </w:rPr>
              <w:t xml:space="preserve">, А.В. </w:t>
            </w:r>
            <w:proofErr w:type="spellStart"/>
            <w:r w:rsidRPr="008467ED">
              <w:rPr>
                <w:lang w:val="uk-UA"/>
              </w:rPr>
              <w:t>Портнова</w:t>
            </w:r>
            <w:proofErr w:type="spellEnd"/>
            <w:r w:rsidRPr="008467ED">
              <w:rPr>
                <w:lang w:val="uk-UA"/>
              </w:rPr>
              <w:t xml:space="preserve"> – Х.: Право, 2012. – 664 с.</w:t>
            </w:r>
          </w:p>
          <w:p w:rsidR="002C317D" w:rsidRPr="008467ED" w:rsidRDefault="002C317D" w:rsidP="008467ED">
            <w:pPr>
              <w:pStyle w:val="a6"/>
              <w:spacing w:after="0"/>
              <w:ind w:right="104" w:firstLine="567"/>
              <w:jc w:val="both"/>
              <w:rPr>
                <w:lang w:val="uk-UA"/>
              </w:rPr>
            </w:pPr>
            <w:r w:rsidRPr="008467ED">
              <w:rPr>
                <w:lang w:val="uk-UA"/>
              </w:rPr>
              <w:t xml:space="preserve">7. </w:t>
            </w:r>
            <w:proofErr w:type="spellStart"/>
            <w:r w:rsidRPr="008467ED">
              <w:rPr>
                <w:lang w:val="uk-UA"/>
              </w:rPr>
              <w:t>Тертишник</w:t>
            </w:r>
            <w:proofErr w:type="spellEnd"/>
            <w:r w:rsidRPr="008467ED">
              <w:rPr>
                <w:lang w:val="uk-UA"/>
              </w:rPr>
              <w:t xml:space="preserve"> В. М. Кримінальний процес України. Загальна частина: підручник / В. М. </w:t>
            </w:r>
            <w:proofErr w:type="spellStart"/>
            <w:r w:rsidRPr="008467ED">
              <w:rPr>
                <w:lang w:val="uk-UA"/>
              </w:rPr>
              <w:t>Тертишник</w:t>
            </w:r>
            <w:proofErr w:type="spellEnd"/>
            <w:r w:rsidRPr="008467ED">
              <w:rPr>
                <w:lang w:val="uk-UA"/>
              </w:rPr>
              <w:t xml:space="preserve">. – Київ : Правова Єдність : </w:t>
            </w:r>
            <w:proofErr w:type="spellStart"/>
            <w:r w:rsidRPr="008467ED">
              <w:rPr>
                <w:lang w:val="uk-UA"/>
              </w:rPr>
              <w:t>Алерта</w:t>
            </w:r>
            <w:proofErr w:type="spellEnd"/>
            <w:r w:rsidRPr="008467ED">
              <w:rPr>
                <w:lang w:val="uk-UA"/>
              </w:rPr>
              <w:t>, 2014. – 438с.</w:t>
            </w:r>
          </w:p>
          <w:p w:rsidR="002C317D" w:rsidRPr="008467ED" w:rsidRDefault="002C317D" w:rsidP="008467ED">
            <w:pPr>
              <w:pStyle w:val="a6"/>
              <w:spacing w:after="0"/>
              <w:ind w:right="104" w:firstLine="567"/>
              <w:jc w:val="both"/>
              <w:rPr>
                <w:lang w:val="uk-UA"/>
              </w:rPr>
            </w:pPr>
            <w:r w:rsidRPr="008467ED">
              <w:rPr>
                <w:lang w:val="uk-UA"/>
              </w:rPr>
              <w:t xml:space="preserve">8. </w:t>
            </w:r>
            <w:proofErr w:type="spellStart"/>
            <w:r w:rsidRPr="008467ED">
              <w:rPr>
                <w:lang w:val="uk-UA"/>
              </w:rPr>
              <w:t>Тертишник</w:t>
            </w:r>
            <w:proofErr w:type="spellEnd"/>
            <w:r w:rsidRPr="008467ED">
              <w:rPr>
                <w:lang w:val="uk-UA"/>
              </w:rPr>
              <w:t xml:space="preserve"> В. М. Кримінальний процес України. Особлива частина: підручник / В. М. </w:t>
            </w:r>
            <w:proofErr w:type="spellStart"/>
            <w:r w:rsidRPr="008467ED">
              <w:rPr>
                <w:lang w:val="uk-UA"/>
              </w:rPr>
              <w:t>Тертишник</w:t>
            </w:r>
            <w:proofErr w:type="spellEnd"/>
            <w:r w:rsidRPr="008467ED">
              <w:rPr>
                <w:lang w:val="uk-UA"/>
              </w:rPr>
              <w:t xml:space="preserve">. – Київ : Правова Єдність : </w:t>
            </w:r>
            <w:proofErr w:type="spellStart"/>
            <w:r w:rsidRPr="008467ED">
              <w:rPr>
                <w:lang w:val="uk-UA"/>
              </w:rPr>
              <w:t>Алерта</w:t>
            </w:r>
            <w:proofErr w:type="spellEnd"/>
            <w:r w:rsidRPr="008467ED">
              <w:rPr>
                <w:lang w:val="uk-UA"/>
              </w:rPr>
              <w:t>, 2014. – 420с.</w:t>
            </w:r>
          </w:p>
          <w:p w:rsidR="002C317D" w:rsidRPr="008467ED" w:rsidRDefault="002C317D"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2C317D" w:rsidRPr="008467ED" w:rsidRDefault="002C317D"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2C317D" w:rsidRPr="008467ED" w:rsidRDefault="002C317D"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r w:rsidR="00E97C7A" w:rsidRPr="008467ED">
              <w:rPr>
                <w:lang w:val="uk-UA"/>
              </w:rPr>
              <w:t>Навчально-науковий</w:t>
            </w:r>
            <w:r w:rsidRPr="008467ED">
              <w:rPr>
                <w:lang w:val="uk-UA"/>
              </w:rPr>
              <w:t xml:space="preserve"> Юридичний інститут Прикарпатського національного університету імені Василя Стефаника, 2018. –  36 с.</w:t>
            </w:r>
          </w:p>
          <w:p w:rsidR="002C317D" w:rsidRPr="008467ED" w:rsidRDefault="002C317D" w:rsidP="008467ED">
            <w:pPr>
              <w:ind w:firstLine="709"/>
              <w:jc w:val="both"/>
              <w:rPr>
                <w:lang w:val="uk-UA"/>
              </w:rPr>
            </w:pPr>
          </w:p>
          <w:p w:rsidR="002C317D" w:rsidRPr="008467ED" w:rsidRDefault="00521122" w:rsidP="008467ED">
            <w:pPr>
              <w:ind w:firstLine="318"/>
              <w:jc w:val="both"/>
              <w:rPr>
                <w:lang w:val="uk-UA"/>
              </w:rPr>
            </w:pPr>
            <w:hyperlink r:id="rId11" w:history="1">
              <w:r w:rsidR="002C317D" w:rsidRPr="008467ED">
                <w:rPr>
                  <w:rStyle w:val="a5"/>
                  <w:lang w:val="uk-UA"/>
                </w:rPr>
                <w:t>https://ksud.pnu.edu.ua/заочна-форма-навчання/</w:t>
              </w:r>
            </w:hyperlink>
          </w:p>
          <w:p w:rsidR="002C317D" w:rsidRPr="008467ED" w:rsidRDefault="002C317D" w:rsidP="008467ED">
            <w:pPr>
              <w:tabs>
                <w:tab w:val="num" w:pos="-258"/>
                <w:tab w:val="left" w:pos="567"/>
              </w:tabs>
              <w:autoSpaceDE w:val="0"/>
              <w:autoSpaceDN w:val="0"/>
              <w:adjustRightInd w:val="0"/>
              <w:ind w:firstLine="567"/>
              <w:jc w:val="both"/>
              <w:rPr>
                <w:lang w:val="uk-UA"/>
              </w:rPr>
            </w:pPr>
          </w:p>
        </w:tc>
      </w:tr>
    </w:tbl>
    <w:p w:rsidR="00E97C7A" w:rsidRDefault="00E97C7A" w:rsidP="00F566B5">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3EB8"/>
    <w:rsid w:val="00100F8D"/>
    <w:rsid w:val="0012765D"/>
    <w:rsid w:val="001853B1"/>
    <w:rsid w:val="001A38E0"/>
    <w:rsid w:val="00281321"/>
    <w:rsid w:val="002C317D"/>
    <w:rsid w:val="002D3EB8"/>
    <w:rsid w:val="00391A9F"/>
    <w:rsid w:val="00442EBA"/>
    <w:rsid w:val="00453A0B"/>
    <w:rsid w:val="00521122"/>
    <w:rsid w:val="005221F6"/>
    <w:rsid w:val="005712B6"/>
    <w:rsid w:val="005727F6"/>
    <w:rsid w:val="005C2E96"/>
    <w:rsid w:val="00637C77"/>
    <w:rsid w:val="006A1237"/>
    <w:rsid w:val="006D5073"/>
    <w:rsid w:val="006F7F05"/>
    <w:rsid w:val="00754B77"/>
    <w:rsid w:val="00772B77"/>
    <w:rsid w:val="007A4276"/>
    <w:rsid w:val="0080299B"/>
    <w:rsid w:val="008467ED"/>
    <w:rsid w:val="008879E9"/>
    <w:rsid w:val="008F6E19"/>
    <w:rsid w:val="00936AE7"/>
    <w:rsid w:val="009A1B06"/>
    <w:rsid w:val="00A54CB5"/>
    <w:rsid w:val="00B850A0"/>
    <w:rsid w:val="00B902F8"/>
    <w:rsid w:val="00BB18DE"/>
    <w:rsid w:val="00C11917"/>
    <w:rsid w:val="00C56054"/>
    <w:rsid w:val="00C7457D"/>
    <w:rsid w:val="00D0503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15345</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2020-10-26T10:42:00Z</dcterms:created>
  <dcterms:modified xsi:type="dcterms:W3CDTF">2020-11-01T17:10:00Z</dcterms:modified>
</cp:coreProperties>
</file>