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МІНІСТЕРСТВО ОСВІТИ І НАУКИ УКРАЇНИ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 xml:space="preserve"> ІМЕНІ ВАСИЛЯ СТЕФАНИКА»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Навчально-науковий юридичний інститут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Кафедра судочинства</w:t>
      </w: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СИЛАБУС НАВЧАЛЬНОЇ ДИСЦИПЛІНИ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EE2BF6" w:rsidP="00A365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ДОКАЗИ І ДОКАЗУВАННЯ У КРИМІНАЛЬНОМУ ПРОВАДЖЕННІ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u w:val="single"/>
          <w:lang w:val="uk-UA"/>
        </w:rPr>
      </w:pP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Рівень вищої освіти – другий (магісте</w:t>
      </w:r>
      <w:r w:rsidRPr="000F7B17">
        <w:rPr>
          <w:sz w:val="28"/>
          <w:szCs w:val="28"/>
          <w:lang w:val="uk-UA"/>
        </w:rPr>
        <w:t>рський)</w:t>
      </w: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 w:rsidRPr="000F7B17">
        <w:rPr>
          <w:sz w:val="28"/>
          <w:szCs w:val="28"/>
          <w:lang w:val="uk-UA"/>
        </w:rPr>
        <w:t xml:space="preserve">                           Освітня </w:t>
      </w:r>
      <w:r w:rsidRPr="000F7B17">
        <w:rPr>
          <w:sz w:val="28"/>
          <w:szCs w:val="28"/>
        </w:rPr>
        <w:t>про</w:t>
      </w:r>
      <w:r w:rsidRPr="000F7B17">
        <w:rPr>
          <w:sz w:val="28"/>
          <w:szCs w:val="28"/>
          <w:lang w:val="uk-UA"/>
        </w:rPr>
        <w:t>грама Право</w:t>
      </w: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 w:rsidRPr="000F7B17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F7B17" w:rsidRPr="000F7B17" w:rsidRDefault="000F7B17" w:rsidP="000F7B17">
      <w:pPr>
        <w:spacing w:line="360" w:lineRule="auto"/>
        <w:rPr>
          <w:sz w:val="28"/>
          <w:szCs w:val="28"/>
          <w:lang w:val="uk-UA"/>
        </w:rPr>
      </w:pPr>
      <w:r w:rsidRPr="000F7B17">
        <w:rPr>
          <w:sz w:val="28"/>
          <w:szCs w:val="28"/>
          <w:lang w:val="uk-UA"/>
        </w:rPr>
        <w:t xml:space="preserve">                           Галузь знань 08 Право</w:t>
      </w:r>
    </w:p>
    <w:bookmarkEnd w:id="0"/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right"/>
        <w:rPr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Затверджено на засіданні кафедри</w:t>
      </w:r>
    </w:p>
    <w:p w:rsidR="00A36578" w:rsidRPr="00A36578" w:rsidRDefault="00A36578" w:rsidP="00A36578">
      <w:pPr>
        <w:jc w:val="right"/>
        <w:rPr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 xml:space="preserve">Протокол №2 від 31 серпня 2020 р.  </w:t>
      </w: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sz w:val="28"/>
          <w:szCs w:val="28"/>
          <w:lang w:val="uk-UA"/>
        </w:rPr>
      </w:pPr>
      <w:r w:rsidRPr="00A36578">
        <w:rPr>
          <w:sz w:val="28"/>
          <w:szCs w:val="28"/>
          <w:lang w:val="uk-UA"/>
        </w:rPr>
        <w:t>м. Івано-Франківськ - 2020</w:t>
      </w: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jc w:val="center"/>
        <w:rPr>
          <w:b/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ЗМІСТ</w:t>
      </w:r>
    </w:p>
    <w:p w:rsidR="00A36578" w:rsidRPr="00A36578" w:rsidRDefault="00A36578" w:rsidP="00A3657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A36578" w:rsidRPr="00A36578" w:rsidRDefault="00A36578" w:rsidP="00A365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6578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36578" w:rsidRPr="00A36578" w:rsidRDefault="00A36578" w:rsidP="00A36578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p w:rsidR="00A36578" w:rsidRPr="00A36578" w:rsidRDefault="00A36578" w:rsidP="00A36578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1. Загальна інформація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36578" w:rsidRDefault="00EE2BF6" w:rsidP="00456C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Докази і доказування у кримінальному провадженні</w:t>
            </w:r>
          </w:p>
          <w:p w:rsidR="004D67AB" w:rsidRPr="00A36578" w:rsidRDefault="004D67AB" w:rsidP="00456CCE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Махінчук Віталій Миколайович, проф., д.ю.н., професор кафедри судочинства </w:t>
            </w:r>
          </w:p>
          <w:p w:rsidR="00A36578" w:rsidRPr="00A3657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A36578" w:rsidRPr="00A36578" w:rsidTr="00B01DA3">
        <w:trPr>
          <w:trHeight w:val="545"/>
        </w:trPr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Махінчук Віталій Миколайович (0342)59-61-78; (044)23-40-458</w:t>
            </w:r>
          </w:p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Кульчак Леся Степанівна(0342)59-61-78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Махінчук Віталій Миколайович  </w:t>
            </w:r>
            <w:r w:rsidRPr="00710848">
              <w:rPr>
                <w:color w:val="0000FF"/>
                <w:u w:val="single"/>
                <w:lang w:val="uk-UA"/>
              </w:rPr>
              <w:t>vitalii.makhinchuk@pnu.edu.ua</w:t>
            </w:r>
          </w:p>
          <w:p w:rsidR="00EE2BF6" w:rsidRPr="00710848" w:rsidRDefault="00EE2BF6" w:rsidP="00EE2BF6">
            <w:pPr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Кульчак Леся Степанівна </w:t>
            </w:r>
            <w:r w:rsidRPr="00710848">
              <w:rPr>
                <w:color w:val="0000FF"/>
                <w:u w:val="single"/>
                <w:lang w:val="uk-UA"/>
              </w:rPr>
              <w:t>lesia.kulchak@pnu.edu.ua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36578" w:rsidRPr="00A36578" w:rsidRDefault="00EE2BF6" w:rsidP="00B01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A36578" w:rsidRPr="00A36578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3 кредити ЄКТС, 90 год.</w:t>
            </w:r>
          </w:p>
        </w:tc>
      </w:tr>
      <w:tr w:rsidR="00A36578" w:rsidRPr="006E3222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36578" w:rsidRPr="00A36578" w:rsidRDefault="000F7B17" w:rsidP="00B01DA3">
            <w:pPr>
              <w:jc w:val="both"/>
              <w:rPr>
                <w:lang w:val="uk-UA"/>
              </w:rPr>
            </w:pPr>
            <w:hyperlink r:id="rId6" w:tgtFrame="_blank" w:history="1">
              <w:r w:rsidR="00A36578" w:rsidRPr="00A36578">
                <w:rPr>
                  <w:rStyle w:val="a3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A36578" w:rsidRPr="006E3222" w:rsidTr="00B01DA3">
        <w:tc>
          <w:tcPr>
            <w:tcW w:w="2547" w:type="dxa"/>
            <w:gridSpan w:val="3"/>
          </w:tcPr>
          <w:p w:rsidR="00A36578" w:rsidRPr="00A36578" w:rsidRDefault="00A36578" w:rsidP="00B01DA3">
            <w:pPr>
              <w:jc w:val="both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36578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r w:rsidRPr="00A36578">
              <w:rPr>
                <w:rStyle w:val="a3"/>
                <w:lang w:val="uk-UA"/>
              </w:rPr>
              <w:t>https://ksud.pnu.edu.ua/графік-самостійної-роботи-зі-студент/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2. Анотація до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456CCE" w:rsidRPr="004D67AB" w:rsidRDefault="004D67AB" w:rsidP="00B01DA3">
            <w:pPr>
              <w:ind w:firstLine="482"/>
              <w:jc w:val="both"/>
              <w:rPr>
                <w:u w:val="single"/>
                <w:lang w:val="uk-UA"/>
              </w:rPr>
            </w:pPr>
            <w:r w:rsidRPr="004836C9">
              <w:rPr>
                <w:u w:val="single"/>
                <w:lang w:val="uk-UA"/>
              </w:rPr>
              <w:t>Предметом</w:t>
            </w:r>
            <w:r w:rsidRPr="004D67AB">
              <w:rPr>
                <w:lang w:val="uk-UA"/>
              </w:rPr>
              <w:t xml:space="preserve"> вивчення </w:t>
            </w:r>
            <w:r>
              <w:rPr>
                <w:lang w:val="uk-UA"/>
              </w:rPr>
              <w:t xml:space="preserve"> вибіркової </w:t>
            </w:r>
            <w:r w:rsidRPr="004D67AB">
              <w:rPr>
                <w:lang w:val="uk-UA"/>
              </w:rPr>
              <w:t>навчальної дисципліни є поняття</w:t>
            </w:r>
            <w:r w:rsidR="008806F8">
              <w:rPr>
                <w:lang w:val="uk-UA"/>
              </w:rPr>
              <w:t xml:space="preserve">, суть </w:t>
            </w:r>
            <w:r w:rsidRPr="004D67AB">
              <w:rPr>
                <w:lang w:val="uk-UA"/>
              </w:rPr>
              <w:t xml:space="preserve">та значення </w:t>
            </w:r>
            <w:r w:rsidR="008806F8">
              <w:rPr>
                <w:lang w:val="uk-UA"/>
              </w:rPr>
              <w:t xml:space="preserve">доказів </w:t>
            </w:r>
            <w:r w:rsidR="006E3222">
              <w:rPr>
                <w:lang w:val="uk-UA"/>
              </w:rPr>
              <w:t>та їх</w:t>
            </w:r>
            <w:r w:rsidR="008806F8">
              <w:rPr>
                <w:lang w:val="uk-UA"/>
              </w:rPr>
              <w:t xml:space="preserve"> </w:t>
            </w:r>
            <w:r w:rsidRPr="004D67AB">
              <w:rPr>
                <w:lang w:val="uk-UA"/>
              </w:rPr>
              <w:t>д</w:t>
            </w:r>
            <w:r w:rsidR="008806F8">
              <w:rPr>
                <w:lang w:val="uk-UA"/>
              </w:rPr>
              <w:t xml:space="preserve">жерел  </w:t>
            </w:r>
            <w:r w:rsidRPr="004D67AB">
              <w:rPr>
                <w:lang w:val="uk-UA"/>
              </w:rPr>
              <w:t>у кримінальному провадженні, процесуальне доказування як різновид пізнавальної діяльності, елементи процесу доказування, процесуальні гарантії в доказуванні, предмет і межі доказування, суб’єкти доказування, слідчі (розшукові) дії як засоби збирання доказів у кримінальному процесі, доказування при застосуванні заходів забезпечення кримінального провадження, доказування у судових стадіях кримінального процесу, доказування при здійсненні кримінального провадження в особливих порядках.</w:t>
            </w:r>
          </w:p>
          <w:p w:rsidR="00A36578" w:rsidRPr="00A36578" w:rsidRDefault="00A36578" w:rsidP="00B01DA3">
            <w:pPr>
              <w:ind w:firstLine="567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A36578">
              <w:rPr>
                <w:u w:val="single"/>
                <w:lang w:val="uk-UA"/>
              </w:rPr>
              <w:t>змістових модулів</w:t>
            </w:r>
            <w:r w:rsidRPr="00A36578">
              <w:rPr>
                <w:lang w:val="uk-UA"/>
              </w:rPr>
              <w:t>:</w:t>
            </w:r>
          </w:p>
          <w:p w:rsidR="00A36578" w:rsidRPr="00833DA2" w:rsidRDefault="00A36578" w:rsidP="00833DA2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1.</w:t>
            </w:r>
            <w:r w:rsidR="00833DA2" w:rsidRPr="00A36578">
              <w:rPr>
                <w:b/>
                <w:lang w:val="uk-UA"/>
              </w:rPr>
              <w:t xml:space="preserve"> </w:t>
            </w:r>
            <w:r w:rsidR="00833DA2" w:rsidRPr="00833DA2">
              <w:rPr>
                <w:lang w:val="uk-UA"/>
              </w:rPr>
              <w:t>Докази та їх джерела у кримінальному провадженні: поняття, різновиди, характеристика</w:t>
            </w:r>
            <w:r w:rsidR="00833DA2">
              <w:rPr>
                <w:lang w:val="uk-UA"/>
              </w:rPr>
              <w:t>.</w:t>
            </w:r>
          </w:p>
          <w:p w:rsidR="00A36578" w:rsidRPr="00833DA2" w:rsidRDefault="00A36578" w:rsidP="00833DA2">
            <w:pPr>
              <w:jc w:val="both"/>
              <w:rPr>
                <w:u w:val="single"/>
                <w:lang w:val="uk-UA"/>
              </w:rPr>
            </w:pPr>
            <w:r w:rsidRPr="00833DA2">
              <w:rPr>
                <w:lang w:val="uk-UA"/>
              </w:rPr>
              <w:t>2.</w:t>
            </w:r>
            <w:r w:rsidR="00833DA2" w:rsidRPr="00833DA2">
              <w:rPr>
                <w:lang w:val="uk-UA"/>
              </w:rPr>
              <w:t xml:space="preserve"> Особливості доказування у кримінальному провадженні</w:t>
            </w:r>
            <w:r w:rsidR="00833DA2">
              <w:rPr>
                <w:lang w:val="uk-UA"/>
              </w:rPr>
              <w:t>.</w:t>
            </w:r>
          </w:p>
          <w:p w:rsidR="00A36578" w:rsidRDefault="00A36578" w:rsidP="00B01DA3">
            <w:pPr>
              <w:pStyle w:val="a6"/>
              <w:ind w:left="0" w:firstLine="709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Вибіркова навчальна дисципліна «</w:t>
            </w:r>
            <w:r w:rsidR="004836C9">
              <w:rPr>
                <w:lang w:val="uk-UA"/>
              </w:rPr>
              <w:t>Докази і доказування у кримінальному провадженні</w:t>
            </w:r>
            <w:r w:rsidRPr="00A36578">
              <w:rPr>
                <w:lang w:val="uk-UA"/>
              </w:rPr>
              <w:t>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</w:t>
            </w:r>
            <w:r w:rsidR="004836C9">
              <w:rPr>
                <w:lang w:val="uk-UA"/>
              </w:rPr>
              <w:t xml:space="preserve">  змісту та </w:t>
            </w:r>
            <w:r w:rsidRPr="00A36578">
              <w:rPr>
                <w:lang w:val="uk-UA"/>
              </w:rPr>
              <w:t xml:space="preserve">особливостей </w:t>
            </w:r>
            <w:r w:rsidR="004836C9">
              <w:rPr>
                <w:lang w:val="uk-UA"/>
              </w:rPr>
              <w:t xml:space="preserve">доказування у кримінальному провадженні, </w:t>
            </w:r>
            <w:r w:rsidRPr="00A36578">
              <w:rPr>
                <w:lang w:val="uk-UA"/>
              </w:rPr>
              <w:t>як важливої  гарантії верховенства права</w:t>
            </w:r>
            <w:r w:rsidR="004836C9">
              <w:rPr>
                <w:lang w:val="uk-UA"/>
              </w:rPr>
              <w:t>, законності і забезпечення права на захист</w:t>
            </w:r>
            <w:r w:rsidRPr="00A36578">
              <w:rPr>
                <w:lang w:val="uk-UA"/>
              </w:rPr>
              <w:t>.</w:t>
            </w:r>
          </w:p>
          <w:p w:rsidR="004836C9" w:rsidRPr="00A202A7" w:rsidRDefault="004836C9" w:rsidP="004836C9">
            <w:pPr>
              <w:keepNext/>
              <w:keepLines/>
              <w:ind w:firstLine="426"/>
              <w:jc w:val="both"/>
              <w:outlineLvl w:val="1"/>
              <w:rPr>
                <w:bCs/>
                <w:lang w:val="uk-UA"/>
              </w:rPr>
            </w:pPr>
            <w:r w:rsidRPr="00A202A7">
              <w:rPr>
                <w:bCs/>
                <w:color w:val="000000"/>
                <w:u w:val="single"/>
                <w:lang w:val="uk-UA"/>
              </w:rPr>
              <w:t>Основними джерелами</w:t>
            </w:r>
            <w:r w:rsidRPr="00A202A7">
              <w:rPr>
                <w:bCs/>
                <w:color w:val="000000"/>
                <w:lang w:val="uk-UA"/>
              </w:rPr>
              <w:t xml:space="preserve"> цієї галузі права виступають Кримінальний процесуальний кодекс України, Кримінальний кодекс України, Закон України «Про судоустрій і статус суддів», Закон України «Про адвокатуру та адвокатську діяльність», Закон України «Про прокуратуру», Закон України «Про СБУ»,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A202A7">
              <w:rPr>
                <w:bCs/>
                <w:color w:val="000000"/>
                <w:lang w:val="uk-UA"/>
              </w:rPr>
              <w:t>Закон України «Про Державне бюро розслідувань», Закон України «Про судову експертизу», Закон України «Про державний захист працівників суду і правоохоронних органів», Закон України «Про забезпечення безпеки осіб, які беруть участь у кримінальному судочинстві», Закон України «</w:t>
            </w:r>
            <w:r w:rsidRPr="00A202A7">
              <w:rPr>
                <w:lang w:val="uk-UA"/>
              </w:rPr>
              <w:t xml:space="preserve">Про </w:t>
            </w:r>
            <w:r w:rsidRPr="00A202A7">
              <w:rPr>
                <w:lang w:val="uk-UA"/>
              </w:rPr>
              <w:lastRenderedPageBreak/>
              <w:t xml:space="preserve">виконання рішень та застосування практики Європейського суду з прав людини» </w:t>
            </w:r>
            <w:r w:rsidRPr="00A202A7">
              <w:rPr>
                <w:bCs/>
                <w:lang w:val="uk-UA"/>
              </w:rPr>
              <w:t>та ряд інших законів і підзаконних актів.</w:t>
            </w:r>
          </w:p>
          <w:p w:rsidR="004836C9" w:rsidRDefault="004836C9" w:rsidP="00B01DA3">
            <w:pPr>
              <w:pStyle w:val="a6"/>
              <w:ind w:left="0" w:firstLine="709"/>
              <w:jc w:val="both"/>
              <w:rPr>
                <w:lang w:val="uk-UA"/>
              </w:rPr>
            </w:pPr>
          </w:p>
          <w:p w:rsidR="004836C9" w:rsidRPr="00A36578" w:rsidRDefault="004836C9" w:rsidP="00B01DA3">
            <w:pPr>
              <w:pStyle w:val="a6"/>
              <w:ind w:left="0" w:firstLine="709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Прийняття Кримінального процесуального кодексу України 13 квітня 2012 року стало поштовхом до принципово нового викладання </w:t>
            </w:r>
            <w:r>
              <w:rPr>
                <w:lang w:val="uk-UA"/>
              </w:rPr>
              <w:t xml:space="preserve">цієї  вибіркової дисципліни в </w:t>
            </w:r>
            <w:r w:rsidRPr="00A202A7">
              <w:rPr>
                <w:lang w:val="uk-UA"/>
              </w:rPr>
              <w:t xml:space="preserve">юридичних навчальних закладах України та </w:t>
            </w:r>
            <w:r w:rsidRPr="00A202A7">
              <w:rPr>
                <w:bCs/>
                <w:color w:val="000000"/>
                <w:lang w:val="uk-UA"/>
              </w:rPr>
              <w:t xml:space="preserve">вплинуло на зміст кримінально-процесуальної науки, що </w:t>
            </w:r>
            <w:r w:rsidRPr="00A202A7">
              <w:rPr>
                <w:lang w:val="uk-UA"/>
              </w:rPr>
              <w:t>було зумовлено економічними, політичними та соціальними змінами в нашій державі.</w:t>
            </w:r>
          </w:p>
          <w:p w:rsidR="00A36578" w:rsidRPr="00A36578" w:rsidRDefault="004836C9" w:rsidP="004836C9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A202A7">
              <w:t>Вивчення навчальної дисципліни сприяє розумінню, що однією з ознак процвітання держави є стабільність життя і спокій її громадян,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правопорушень, а також їх розгляд у судовому провадженні</w:t>
            </w:r>
            <w:r w:rsidR="008806F8">
              <w:t>, що неможливо без доказів</w:t>
            </w:r>
            <w:r w:rsidRPr="00A202A7">
              <w:t>. Упродовж усього часу розвитку України як незалежної держави було одне запитання: яким повинно бути кримінальне процесуальне законодавство України, щоб водночас відповідати європейським стандартам і разом з тим слугувати надійним засобом захисту прав, свобод та законних інтересів конкретної особи нашої країни. Важливо,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</w:t>
            </w:r>
            <w:r w:rsidR="008806F8">
              <w:t xml:space="preserve"> взагалі</w:t>
            </w:r>
            <w:r w:rsidRPr="00A202A7">
              <w:t xml:space="preserve">, </w:t>
            </w:r>
            <w:r w:rsidR="008806F8">
              <w:t xml:space="preserve">і доказового права зокрема, </w:t>
            </w:r>
            <w:r w:rsidRPr="00A202A7">
              <w:t>що сприятиме захисту, охороні прав, свобод і законних інтересів учасників кримінального провадження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6E3222" w:rsidTr="00B01DA3">
        <w:tc>
          <w:tcPr>
            <w:tcW w:w="9606" w:type="dxa"/>
            <w:gridSpan w:val="9"/>
          </w:tcPr>
          <w:p w:rsidR="00C3362B" w:rsidRPr="008806F8" w:rsidRDefault="00C3362B" w:rsidP="00C3362B">
            <w:pPr>
              <w:pStyle w:val="2"/>
              <w:spacing w:after="0" w:line="240" w:lineRule="auto"/>
              <w:ind w:firstLine="567"/>
              <w:jc w:val="both"/>
              <w:rPr>
                <w:u w:val="single"/>
                <w:lang w:val="uk-UA"/>
              </w:rPr>
            </w:pPr>
            <w:r w:rsidRPr="008806F8">
              <w:rPr>
                <w:u w:val="single"/>
                <w:lang w:val="uk-UA"/>
              </w:rPr>
              <w:t>Метою</w:t>
            </w:r>
            <w:r w:rsidRPr="008806F8">
              <w:rPr>
                <w:lang w:val="uk-UA"/>
              </w:rPr>
              <w:t xml:space="preserve"> вивчення  вибіркової навчальної дисципліни «Докази і доказування у кримінальному провадженні» </w:t>
            </w:r>
            <w:r w:rsidR="008806F8">
              <w:rPr>
                <w:lang w:val="uk-UA"/>
              </w:rPr>
              <w:t>є</w:t>
            </w:r>
            <w:r w:rsidRPr="008806F8">
              <w:rPr>
                <w:lang w:val="uk-UA"/>
              </w:rPr>
              <w:t xml:space="preserve"> формування у студенів як майбутніх висококваліфікованих фахівців, необхідних знань про  </w:t>
            </w:r>
            <w:r w:rsidR="00833DA2" w:rsidRPr="008806F8">
              <w:rPr>
                <w:lang w:val="uk-UA"/>
              </w:rPr>
              <w:t>поняття</w:t>
            </w:r>
            <w:r w:rsidRPr="008806F8">
              <w:rPr>
                <w:lang w:val="uk-UA"/>
              </w:rPr>
              <w:t xml:space="preserve"> та зміст доказування у кримінальному провадженні</w:t>
            </w:r>
            <w:r w:rsidR="00833DA2" w:rsidRPr="008806F8">
              <w:rPr>
                <w:lang w:val="uk-UA"/>
              </w:rPr>
              <w:t xml:space="preserve">, </w:t>
            </w:r>
            <w:r w:rsidRPr="008806F8">
              <w:rPr>
                <w:lang w:val="uk-UA"/>
              </w:rPr>
              <w:t>слідч</w:t>
            </w:r>
            <w:r w:rsidR="00833DA2" w:rsidRPr="008806F8">
              <w:rPr>
                <w:lang w:val="uk-UA"/>
              </w:rPr>
              <w:t>их</w:t>
            </w:r>
            <w:r w:rsidRPr="008806F8">
              <w:rPr>
                <w:lang w:val="uk-UA"/>
              </w:rPr>
              <w:t xml:space="preserve"> (розшуков</w:t>
            </w:r>
            <w:r w:rsidR="00833DA2" w:rsidRPr="008806F8">
              <w:rPr>
                <w:lang w:val="uk-UA"/>
              </w:rPr>
              <w:t>их</w:t>
            </w:r>
            <w:r w:rsidRPr="008806F8">
              <w:rPr>
                <w:lang w:val="uk-UA"/>
              </w:rPr>
              <w:t>) ді</w:t>
            </w:r>
            <w:r w:rsidR="00833DA2" w:rsidRPr="008806F8">
              <w:rPr>
                <w:lang w:val="uk-UA"/>
              </w:rPr>
              <w:t>й</w:t>
            </w:r>
            <w:r w:rsidRPr="008806F8">
              <w:rPr>
                <w:lang w:val="uk-UA"/>
              </w:rPr>
              <w:t xml:space="preserve"> як засоб</w:t>
            </w:r>
            <w:r w:rsidR="00833DA2" w:rsidRPr="008806F8">
              <w:rPr>
                <w:lang w:val="uk-UA"/>
              </w:rPr>
              <w:t>ів</w:t>
            </w:r>
            <w:r w:rsidRPr="008806F8">
              <w:rPr>
                <w:lang w:val="uk-UA"/>
              </w:rPr>
              <w:t xml:space="preserve"> збирання доказів у кримінальному процесі, особливост</w:t>
            </w:r>
            <w:r w:rsidR="00833DA2" w:rsidRPr="008806F8">
              <w:rPr>
                <w:lang w:val="uk-UA"/>
              </w:rPr>
              <w:t>ей</w:t>
            </w:r>
            <w:r w:rsidRPr="008806F8">
              <w:rPr>
                <w:lang w:val="uk-UA"/>
              </w:rPr>
              <w:t xml:space="preserve"> доказування при застосуванні заходів забезпечення кримінального провадження, </w:t>
            </w:r>
            <w:r w:rsidR="00833DA2" w:rsidRPr="008806F8">
              <w:rPr>
                <w:lang w:val="uk-UA"/>
              </w:rPr>
              <w:t xml:space="preserve"> </w:t>
            </w:r>
            <w:r w:rsidRPr="008806F8">
              <w:rPr>
                <w:lang w:val="uk-UA"/>
              </w:rPr>
              <w:t>у судових стадіях кримінального процесу та в особливих порядках кримінального провадження.</w:t>
            </w:r>
          </w:p>
          <w:p w:rsidR="00C3362B" w:rsidRPr="00A202A7" w:rsidRDefault="00C3362B" w:rsidP="007D71FE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  <w:r w:rsidRPr="00A36578">
              <w:rPr>
                <w:u w:val="single"/>
                <w:lang w:val="uk-UA"/>
              </w:rPr>
              <w:t>Основними цілями</w:t>
            </w:r>
            <w:r w:rsidRPr="00A36578">
              <w:rPr>
                <w:lang w:val="uk-UA"/>
              </w:rPr>
              <w:t xml:space="preserve"> вивчення вибіркової  дисципліни «</w:t>
            </w:r>
            <w:r>
              <w:rPr>
                <w:lang w:val="uk-UA"/>
              </w:rPr>
              <w:t>Докази і доказування у кримінальному провадженні</w:t>
            </w:r>
            <w:r w:rsidRPr="00A36578">
              <w:rPr>
                <w:lang w:val="uk-UA"/>
              </w:rPr>
              <w:t xml:space="preserve">»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</w:t>
            </w:r>
            <w:r>
              <w:rPr>
                <w:lang w:val="uk-UA"/>
              </w:rPr>
              <w:t>кримінального провадження</w:t>
            </w:r>
            <w:r w:rsidRPr="00A36578">
              <w:rPr>
                <w:lang w:val="uk-UA"/>
              </w:rPr>
              <w:t>,</w:t>
            </w:r>
            <w:r w:rsidR="007D71FE">
              <w:rPr>
                <w:lang w:val="uk-UA"/>
              </w:rPr>
              <w:t xml:space="preserve"> </w:t>
            </w:r>
            <w:r w:rsidRPr="00A202A7">
              <w:rPr>
                <w:lang w:val="uk-UA"/>
              </w:rPr>
              <w:t xml:space="preserve">отримання необхідного обсягу теоретичних правових знань, набуття практичних навиків правозастосування, складення процесуальних документів, ознайомлення студентів з теоретичними положеннями та практикою </w:t>
            </w:r>
            <w:r w:rsidR="007D71FE">
              <w:rPr>
                <w:lang w:val="uk-UA"/>
              </w:rPr>
              <w:t>доказування</w:t>
            </w:r>
            <w:r w:rsidRPr="00A202A7">
              <w:rPr>
                <w:lang w:val="uk-UA"/>
              </w:rPr>
              <w:t>, оволодіння достатнім рівнем правової культури і правосвідомості для забезпечення прав, свобод та інтересів суб’єктів правовідносин у сфері кримінального судочинства</w:t>
            </w:r>
            <w:r w:rsidR="008806F8">
              <w:rPr>
                <w:lang w:val="uk-UA"/>
              </w:rPr>
              <w:t xml:space="preserve">. </w:t>
            </w:r>
          </w:p>
          <w:p w:rsidR="00A36578" w:rsidRPr="00A36578" w:rsidRDefault="00A36578" w:rsidP="007D71FE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4. Програмні компетентності та результати навчання</w:t>
            </w: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</w:tc>
      </w:tr>
      <w:tr w:rsidR="00A36578" w:rsidRPr="006E3222" w:rsidTr="00B01DA3">
        <w:tc>
          <w:tcPr>
            <w:tcW w:w="9606" w:type="dxa"/>
            <w:gridSpan w:val="9"/>
          </w:tcPr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601"/>
              <w:jc w:val="both"/>
              <w:rPr>
                <w:szCs w:val="24"/>
                <w:u w:val="single"/>
                <w:lang w:val="uk-UA"/>
              </w:rPr>
            </w:pPr>
            <w:r w:rsidRPr="00710848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Здатність до абстрактного мислення, аналізу та синтезу джерел права та результатів наукових досліджень </w:t>
            </w:r>
            <w:r>
              <w:rPr>
                <w:szCs w:val="24"/>
                <w:lang w:val="uk-UA"/>
              </w:rPr>
              <w:t xml:space="preserve">доказів  і доказування у кримінальному провадженні. </w:t>
            </w:r>
          </w:p>
          <w:p w:rsidR="00833DA2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Здатність застосовувати знання нормативних положень загальної та особливої частини кримінального процесуального права у практичних ситуаціях </w:t>
            </w:r>
            <w:r w:rsidR="00833DA2">
              <w:rPr>
                <w:szCs w:val="24"/>
                <w:lang w:val="uk-UA"/>
              </w:rPr>
              <w:t>в процесі доказування.</w:t>
            </w:r>
            <w:r w:rsidRPr="00710848">
              <w:rPr>
                <w:szCs w:val="24"/>
                <w:lang w:val="uk-UA"/>
              </w:rPr>
              <w:t xml:space="preserve"> 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Знання та розуміння предметної області кримінального процесу та важливості у професійній діяльності  фіксувати, </w:t>
            </w:r>
            <w:r>
              <w:rPr>
                <w:szCs w:val="24"/>
                <w:lang w:val="uk-UA"/>
              </w:rPr>
              <w:t xml:space="preserve"> процесуально </w:t>
            </w:r>
            <w:r w:rsidRPr="00710848">
              <w:rPr>
                <w:szCs w:val="24"/>
                <w:lang w:val="uk-UA"/>
              </w:rPr>
              <w:t>оформляти подію правопорушення</w:t>
            </w:r>
            <w:r>
              <w:rPr>
                <w:szCs w:val="24"/>
                <w:lang w:val="uk-UA"/>
              </w:rPr>
              <w:t>, розслідування і судовий розгляд</w:t>
            </w:r>
            <w:r w:rsidR="008806F8">
              <w:rPr>
                <w:szCs w:val="24"/>
                <w:lang w:val="uk-UA"/>
              </w:rPr>
              <w:t xml:space="preserve"> на основі зібраних, перевірених та оцінених доказів</w:t>
            </w:r>
            <w:r>
              <w:rPr>
                <w:szCs w:val="24"/>
                <w:lang w:val="uk-UA"/>
              </w:rPr>
              <w:t>.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0848">
              <w:rPr>
                <w:szCs w:val="24"/>
                <w:lang w:val="uk-UA"/>
              </w:rPr>
              <w:t xml:space="preserve">Здатність вчитися і оволодівати сучасними знаннями в сфері </w:t>
            </w:r>
            <w:r w:rsidRPr="00710848">
              <w:rPr>
                <w:lang w:val="uk-UA" w:eastAsia="uk-UA"/>
              </w:rPr>
              <w:t>складання, оформлення процесуальних документів</w:t>
            </w:r>
            <w:r w:rsidR="00833DA2">
              <w:rPr>
                <w:lang w:val="uk-UA" w:eastAsia="uk-UA"/>
              </w:rPr>
              <w:t xml:space="preserve"> в ході доказування у кримінальному провадженні</w:t>
            </w:r>
            <w:r w:rsidRPr="00710848">
              <w:rPr>
                <w:lang w:val="uk-UA" w:eastAsia="uk-UA"/>
              </w:rPr>
              <w:t>.</w:t>
            </w:r>
            <w:r w:rsidRPr="00710848">
              <w:rPr>
                <w:szCs w:val="24"/>
                <w:lang w:val="uk-UA"/>
              </w:rPr>
              <w:t xml:space="preserve"> 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Прагнення до вдосконалення норм фіксації кримінального провадження відповідно до європейських стандартів</w:t>
            </w:r>
            <w:r w:rsidR="008806F8">
              <w:rPr>
                <w:lang w:val="uk-UA"/>
              </w:rPr>
              <w:t xml:space="preserve"> в процесі доказування</w:t>
            </w:r>
            <w:r w:rsidRPr="00710848">
              <w:rPr>
                <w:lang w:val="uk-UA"/>
              </w:rPr>
              <w:t>.</w:t>
            </w:r>
          </w:p>
          <w:p w:rsidR="00481967" w:rsidRPr="00710848" w:rsidRDefault="00481967" w:rsidP="004819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601"/>
              <w:jc w:val="both"/>
              <w:rPr>
                <w:u w:val="single"/>
                <w:lang w:val="uk-UA"/>
              </w:rPr>
            </w:pPr>
            <w:r w:rsidRPr="00710848">
              <w:rPr>
                <w:u w:val="single"/>
                <w:lang w:val="uk-UA"/>
              </w:rPr>
              <w:t>Фахові компетентності: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 правового механізму</w:t>
            </w:r>
            <w:r w:rsidR="00833DA2">
              <w:rPr>
                <w:lang w:val="uk-UA"/>
              </w:rPr>
              <w:t xml:space="preserve"> доказування і </w:t>
            </w:r>
            <w:r w:rsidRPr="00710848">
              <w:rPr>
                <w:lang w:val="uk-UA"/>
              </w:rPr>
              <w:t xml:space="preserve"> фіксування розслідування, судового </w:t>
            </w:r>
            <w:r w:rsidRPr="00710848">
              <w:rPr>
                <w:lang w:val="uk-UA"/>
              </w:rPr>
              <w:lastRenderedPageBreak/>
              <w:t xml:space="preserve">розгляду і </w:t>
            </w:r>
            <w:r>
              <w:rPr>
                <w:lang w:val="uk-UA"/>
              </w:rPr>
              <w:t xml:space="preserve">вчинення </w:t>
            </w:r>
            <w:r w:rsidRPr="00710848">
              <w:rPr>
                <w:lang w:val="uk-UA"/>
              </w:rPr>
              <w:t xml:space="preserve">процесуальних дій </w:t>
            </w:r>
            <w:r>
              <w:rPr>
                <w:lang w:val="uk-UA"/>
              </w:rPr>
              <w:t>у</w:t>
            </w:r>
            <w:r w:rsidRPr="00710848">
              <w:rPr>
                <w:lang w:val="uk-UA"/>
              </w:rPr>
              <w:t xml:space="preserve"> кримінальному провадженні.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 </w:t>
            </w:r>
            <w:r>
              <w:rPr>
                <w:lang w:val="uk-UA"/>
              </w:rPr>
              <w:t xml:space="preserve"> </w:t>
            </w:r>
            <w:r w:rsidR="00980512">
              <w:rPr>
                <w:lang w:val="uk-UA"/>
              </w:rPr>
              <w:t>доказів і доказування при провадженні кримінальних справ.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до критичного та системного аналізу, порівняння і тлумачення чинного   кримінального процесуального законодавства</w:t>
            </w:r>
            <w:r>
              <w:rPr>
                <w:lang w:val="uk-UA"/>
              </w:rPr>
              <w:t>, яке закріплює положення</w:t>
            </w:r>
            <w:r w:rsidR="00980512">
              <w:rPr>
                <w:lang w:val="uk-UA"/>
              </w:rPr>
              <w:t xml:space="preserve"> доказування</w:t>
            </w:r>
            <w:r w:rsidRPr="00710848">
              <w:rPr>
                <w:lang w:val="uk-UA"/>
              </w:rPr>
              <w:t>.</w:t>
            </w:r>
          </w:p>
          <w:p w:rsidR="00481967" w:rsidRPr="00710848" w:rsidRDefault="00481967" w:rsidP="0048196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до консультування з правових питань, зокрема, складання процесуальних документів, як способу захисту і забезпечення прав і законних інтересів громадян, учасників кримінального провадження.</w:t>
            </w:r>
          </w:p>
          <w:p w:rsidR="00481967" w:rsidRPr="00710848" w:rsidRDefault="00481967" w:rsidP="00481967">
            <w:pPr>
              <w:pStyle w:val="a7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>Здатність до логічного, критичного і системного аналізу процесуальних документів, розуміння їх правового характеру і значення, здатність давати юридичну кваліфікацію відносинам, що пов'язані з кримінальним провадженням.</w:t>
            </w:r>
          </w:p>
          <w:p w:rsidR="00A36578" w:rsidRPr="00A36578" w:rsidRDefault="00A36578" w:rsidP="00481967">
            <w:pPr>
              <w:pStyle w:val="a7"/>
              <w:shd w:val="clear" w:color="auto" w:fill="FFFFFF"/>
              <w:ind w:left="0" w:right="23"/>
              <w:jc w:val="both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Обсяг навчальної дисципліни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Загальна кількість годин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12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18</w:t>
            </w:r>
          </w:p>
        </w:tc>
      </w:tr>
      <w:tr w:rsidR="00A36578" w:rsidRPr="00A36578" w:rsidTr="00B01DA3">
        <w:tc>
          <w:tcPr>
            <w:tcW w:w="3050" w:type="dxa"/>
            <w:gridSpan w:val="4"/>
          </w:tcPr>
          <w:p w:rsidR="00A36578" w:rsidRPr="00A36578" w:rsidRDefault="00A36578" w:rsidP="00B01DA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60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Ознаки курсу</w:t>
            </w:r>
          </w:p>
        </w:tc>
      </w:tr>
      <w:tr w:rsidR="00A36578" w:rsidRPr="00A36578" w:rsidTr="00B01DA3">
        <w:tc>
          <w:tcPr>
            <w:tcW w:w="1513" w:type="dxa"/>
            <w:vAlign w:val="center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A36578" w:rsidRPr="00A36578" w:rsidRDefault="00A36578" w:rsidP="00B01DA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36578" w:rsidRPr="00A36578" w:rsidTr="00B01DA3">
        <w:trPr>
          <w:trHeight w:val="412"/>
        </w:trPr>
        <w:tc>
          <w:tcPr>
            <w:tcW w:w="1513" w:type="dxa"/>
          </w:tcPr>
          <w:p w:rsidR="00A36578" w:rsidRPr="00A36578" w:rsidRDefault="004D67AB" w:rsidP="00B01D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A36578" w:rsidRPr="00A36578" w:rsidRDefault="00A36578" w:rsidP="00B01DA3">
            <w:pPr>
              <w:jc w:val="center"/>
              <w:rPr>
                <w:bCs/>
                <w:lang w:val="uk-UA"/>
              </w:rPr>
            </w:pPr>
            <w:r w:rsidRPr="00A36578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36578" w:rsidRPr="00A36578" w:rsidRDefault="00EE2BF6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1м</w:t>
            </w:r>
          </w:p>
        </w:tc>
        <w:tc>
          <w:tcPr>
            <w:tcW w:w="2381" w:type="dxa"/>
            <w:gridSpan w:val="2"/>
          </w:tcPr>
          <w:p w:rsidR="00A36578" w:rsidRPr="00A36578" w:rsidRDefault="004D67AB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Тематика курсу</w:t>
            </w:r>
          </w:p>
        </w:tc>
      </w:tr>
      <w:tr w:rsidR="00A36578" w:rsidRPr="00A36578" w:rsidTr="00B01DA3">
        <w:tc>
          <w:tcPr>
            <w:tcW w:w="6232" w:type="dxa"/>
            <w:gridSpan w:val="6"/>
            <w:vMerge w:val="restart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кількість год.</w:t>
            </w:r>
          </w:p>
        </w:tc>
      </w:tr>
      <w:tr w:rsidR="00A36578" w:rsidRPr="00A36578" w:rsidTr="00B01DA3">
        <w:tc>
          <w:tcPr>
            <w:tcW w:w="6232" w:type="dxa"/>
            <w:gridSpan w:val="6"/>
            <w:vMerge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сам. роб.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833DA2" w:rsidRDefault="00A36578" w:rsidP="00833DA2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 xml:space="preserve">Модуль І. </w:t>
            </w:r>
            <w:r w:rsidR="00833DA2">
              <w:rPr>
                <w:b/>
                <w:lang w:val="uk-UA"/>
              </w:rPr>
              <w:t xml:space="preserve"> Докази та їх джерела у кримінальному провадженні:</w:t>
            </w:r>
          </w:p>
          <w:p w:rsidR="00A36578" w:rsidRPr="00A36578" w:rsidRDefault="00833DA2" w:rsidP="00833DA2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поняття, різновиди, характеристика</w:t>
            </w:r>
          </w:p>
        </w:tc>
      </w:tr>
      <w:tr w:rsidR="00A36578" w:rsidRPr="00A36578" w:rsidTr="00B01DA3">
        <w:trPr>
          <w:trHeight w:val="547"/>
        </w:trPr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1. </w:t>
            </w:r>
            <w:r w:rsidR="00456CCE" w:rsidRPr="00273205">
              <w:rPr>
                <w:lang w:val="uk-UA"/>
              </w:rPr>
              <w:t>Поняття і зміст теорії доказів у кримінальному провадженні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36578" w:rsidRPr="00A36578" w:rsidTr="00B01DA3">
        <w:trPr>
          <w:trHeight w:val="330"/>
        </w:trPr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>Тема № 2.</w:t>
            </w:r>
            <w:r w:rsidRPr="00273205">
              <w:rPr>
                <w:bCs/>
                <w:iCs/>
                <w:lang w:val="uk-UA"/>
              </w:rPr>
              <w:t xml:space="preserve"> </w:t>
            </w:r>
            <w:r w:rsidR="00456CCE" w:rsidRPr="00273205">
              <w:rPr>
                <w:lang w:val="uk-UA"/>
              </w:rPr>
              <w:t>Поняття доказів та їх класифікація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36578" w:rsidRPr="00A36578" w:rsidTr="00B01DA3">
        <w:trPr>
          <w:trHeight w:val="296"/>
        </w:trPr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3. </w:t>
            </w:r>
            <w:r w:rsidR="00456CCE" w:rsidRPr="00273205">
              <w:rPr>
                <w:lang w:val="uk-UA"/>
              </w:rPr>
              <w:t>Предмет і межі доказування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6578" w:rsidRPr="00A36578" w:rsidTr="00273205">
        <w:trPr>
          <w:trHeight w:val="363"/>
        </w:trPr>
        <w:tc>
          <w:tcPr>
            <w:tcW w:w="6232" w:type="dxa"/>
            <w:gridSpan w:val="6"/>
          </w:tcPr>
          <w:p w:rsidR="00A36578" w:rsidRDefault="00A36578" w:rsidP="00B01DA3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>Тема № 4.</w:t>
            </w:r>
            <w:r w:rsidR="00456CCE" w:rsidRPr="00273205">
              <w:rPr>
                <w:lang w:val="uk-UA"/>
              </w:rPr>
              <w:t xml:space="preserve"> Характеристика джерел доказів.</w:t>
            </w:r>
          </w:p>
          <w:p w:rsidR="00A36578" w:rsidRPr="00273205" w:rsidRDefault="00A36578" w:rsidP="00B01DA3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73205" w:rsidRPr="00A36578" w:rsidTr="00273205">
        <w:trPr>
          <w:trHeight w:val="450"/>
        </w:trPr>
        <w:tc>
          <w:tcPr>
            <w:tcW w:w="6232" w:type="dxa"/>
            <w:gridSpan w:val="6"/>
          </w:tcPr>
          <w:p w:rsidR="00273205" w:rsidRPr="00273205" w:rsidRDefault="00273205" w:rsidP="0027320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273205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273205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273205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833DA2" w:rsidRPr="00A36578" w:rsidTr="00D56A6B">
        <w:trPr>
          <w:trHeight w:val="660"/>
        </w:trPr>
        <w:tc>
          <w:tcPr>
            <w:tcW w:w="9606" w:type="dxa"/>
            <w:gridSpan w:val="9"/>
          </w:tcPr>
          <w:p w:rsidR="00833DA2" w:rsidRPr="00A36578" w:rsidRDefault="00833DA2" w:rsidP="00B01DA3">
            <w:pPr>
              <w:jc w:val="center"/>
              <w:rPr>
                <w:lang w:val="uk-UA"/>
              </w:rPr>
            </w:pPr>
            <w:r w:rsidRPr="00A36578">
              <w:rPr>
                <w:b/>
                <w:lang w:val="uk-UA"/>
              </w:rPr>
              <w:t>Модуль І</w:t>
            </w:r>
            <w:r>
              <w:rPr>
                <w:b/>
                <w:lang w:val="uk-UA"/>
              </w:rPr>
              <w:t>I</w:t>
            </w:r>
            <w:r w:rsidRPr="00A36578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 xml:space="preserve"> Особливості доказування у кримінальному провадженні </w:t>
            </w:r>
          </w:p>
        </w:tc>
      </w:tr>
      <w:tr w:rsidR="00A36578" w:rsidRPr="00A36578" w:rsidTr="00B01DA3"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>Тема № 5</w:t>
            </w:r>
            <w:r w:rsidR="00456CCE" w:rsidRPr="00273205">
              <w:rPr>
                <w:lang w:val="uk-UA"/>
              </w:rPr>
              <w:t xml:space="preserve"> Способи збирання, перевірки і оцінки доказів. Слідчі і судові версії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6578" w:rsidRPr="00A36578" w:rsidTr="00B01DA3">
        <w:trPr>
          <w:trHeight w:val="15"/>
        </w:trPr>
        <w:tc>
          <w:tcPr>
            <w:tcW w:w="6232" w:type="dxa"/>
            <w:gridSpan w:val="6"/>
          </w:tcPr>
          <w:p w:rsidR="00A36578" w:rsidRPr="00273205" w:rsidRDefault="00A36578" w:rsidP="00273205">
            <w:pPr>
              <w:pStyle w:val="a9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6. </w:t>
            </w:r>
            <w:r w:rsidR="00456CCE" w:rsidRPr="00273205">
              <w:rPr>
                <w:lang w:val="uk-UA"/>
              </w:rPr>
              <w:t>Суб’єкти кримінального процесуального доказування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pStyle w:val="a4"/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36578" w:rsidRPr="00A36578" w:rsidTr="00B01DA3">
        <w:tc>
          <w:tcPr>
            <w:tcW w:w="6232" w:type="dxa"/>
            <w:gridSpan w:val="6"/>
          </w:tcPr>
          <w:p w:rsidR="00A36578" w:rsidRPr="00273205" w:rsidRDefault="00A36578" w:rsidP="00456CCE">
            <w:pPr>
              <w:jc w:val="both"/>
              <w:rPr>
                <w:lang w:val="uk-UA"/>
              </w:rPr>
            </w:pPr>
            <w:r w:rsidRPr="00273205">
              <w:rPr>
                <w:lang w:val="uk-UA"/>
              </w:rPr>
              <w:t xml:space="preserve">Тема № 7. </w:t>
            </w:r>
            <w:r w:rsidR="00456CCE" w:rsidRPr="00273205">
              <w:rPr>
                <w:lang w:val="uk-UA"/>
              </w:rPr>
              <w:t>Особливості доказування в окремих категоріях справ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6578" w:rsidRPr="00A36578" w:rsidTr="00B01DA3">
        <w:tc>
          <w:tcPr>
            <w:tcW w:w="6232" w:type="dxa"/>
            <w:gridSpan w:val="6"/>
          </w:tcPr>
          <w:p w:rsidR="00A36578" w:rsidRPr="00A36578" w:rsidRDefault="00A36578" w:rsidP="00B01DA3">
            <w:pPr>
              <w:jc w:val="right"/>
              <w:rPr>
                <w:lang w:val="uk-UA"/>
              </w:rPr>
            </w:pPr>
            <w:r w:rsidRPr="00A36578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lang w:val="uk-UA"/>
              </w:rPr>
            </w:pPr>
            <w:r w:rsidRPr="00A36578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A36578" w:rsidRPr="00A36578" w:rsidRDefault="00273205" w:rsidP="00B01D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A36578" w:rsidRPr="00A36578" w:rsidTr="00B01DA3">
        <w:trPr>
          <w:trHeight w:val="300"/>
        </w:trPr>
        <w:tc>
          <w:tcPr>
            <w:tcW w:w="6232" w:type="dxa"/>
            <w:gridSpan w:val="6"/>
          </w:tcPr>
          <w:p w:rsidR="00A36578" w:rsidRPr="00A36578" w:rsidRDefault="00A36578" w:rsidP="00B01DA3">
            <w:pPr>
              <w:jc w:val="right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Всього:</w:t>
            </w:r>
          </w:p>
          <w:p w:rsidR="00A36578" w:rsidRPr="00A36578" w:rsidRDefault="00A36578" w:rsidP="00B01DA3">
            <w:pPr>
              <w:jc w:val="right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60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6. Система оцінювання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</w:tc>
      </w:tr>
      <w:tr w:rsidR="00A36578" w:rsidRPr="006E3222" w:rsidTr="00B01DA3"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ind w:firstLine="185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A36578">
              <w:rPr>
                <w:lang w:val="uk-UA"/>
              </w:rPr>
              <w:lastRenderedPageBreak/>
              <w:t xml:space="preserve">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36578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7" w:history="1">
              <w:r w:rsidRPr="00A36578">
                <w:rPr>
                  <w:rStyle w:val="a3"/>
                  <w:lang w:val="uk-UA"/>
                </w:rPr>
                <w:t>https://law.pnu.edu.ua/організація-навчального-процесу/</w:t>
              </w:r>
            </w:hyperlink>
            <w:r w:rsidRPr="00A36578">
              <w:rPr>
                <w:i/>
                <w:iCs/>
                <w:lang w:val="uk-UA"/>
              </w:rPr>
              <w:t>.</w:t>
            </w:r>
          </w:p>
        </w:tc>
      </w:tr>
      <w:tr w:rsidR="00A36578" w:rsidRPr="00A36578" w:rsidTr="00B01DA3"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Вивчення дисципліни передбачає </w:t>
            </w:r>
            <w:r w:rsidRPr="00A36578">
              <w:rPr>
                <w:u w:val="single"/>
                <w:lang w:val="uk-UA"/>
              </w:rPr>
              <w:t>обов’язкове</w:t>
            </w:r>
            <w:r w:rsidRPr="00A36578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A36578" w:rsidRPr="00A36578" w:rsidRDefault="00A36578" w:rsidP="00B01DA3">
            <w:pPr>
              <w:ind w:firstLine="185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На  контрольну роботу виноситься 2 описових завдання, кожне з яких  оцінюється по </w:t>
            </w:r>
            <w:r w:rsidR="00FA7234">
              <w:rPr>
                <w:lang w:val="uk-UA"/>
              </w:rPr>
              <w:t>10</w:t>
            </w:r>
            <w:r w:rsidRPr="00A36578">
              <w:rPr>
                <w:lang w:val="uk-UA"/>
              </w:rPr>
              <w:t xml:space="preserve"> балів, 3 відкритих тестових запитання, які оцінюються </w:t>
            </w:r>
            <w:r w:rsidR="00FA7234">
              <w:rPr>
                <w:lang w:val="uk-UA"/>
              </w:rPr>
              <w:t>по</w:t>
            </w:r>
            <w:r w:rsidRPr="00A36578">
              <w:rPr>
                <w:lang w:val="uk-UA"/>
              </w:rPr>
              <w:t xml:space="preserve"> </w:t>
            </w:r>
            <w:r w:rsidR="00FA7234">
              <w:rPr>
                <w:lang w:val="uk-UA"/>
              </w:rPr>
              <w:t>3</w:t>
            </w:r>
            <w:r w:rsidRPr="00A36578">
              <w:rPr>
                <w:lang w:val="uk-UA"/>
              </w:rPr>
              <w:t xml:space="preserve"> бали, </w:t>
            </w:r>
            <w:r w:rsidR="00FA7234">
              <w:rPr>
                <w:lang w:val="uk-UA"/>
              </w:rPr>
              <w:t xml:space="preserve">3 визначення </w:t>
            </w:r>
            <w:r w:rsidRPr="00A36578">
              <w:rPr>
                <w:lang w:val="uk-UA"/>
              </w:rPr>
              <w:t xml:space="preserve"> по </w:t>
            </w:r>
            <w:r w:rsidR="00FA7234">
              <w:rPr>
                <w:lang w:val="uk-UA"/>
              </w:rPr>
              <w:t>3</w:t>
            </w:r>
            <w:r w:rsidRPr="00A36578">
              <w:rPr>
                <w:lang w:val="uk-UA"/>
              </w:rPr>
              <w:t xml:space="preserve"> бали</w:t>
            </w:r>
            <w:r w:rsidR="00FA7234">
              <w:rPr>
                <w:lang w:val="uk-UA"/>
              </w:rPr>
              <w:t>, і вирішення задачі, яка оцінюється в 12 балів</w:t>
            </w:r>
            <w:r w:rsidRPr="00A36578">
              <w:rPr>
                <w:lang w:val="uk-UA"/>
              </w:rPr>
              <w:t xml:space="preserve">. Максимальний бал за контрольну становить </w:t>
            </w:r>
            <w:r w:rsidR="00FA7234">
              <w:rPr>
                <w:lang w:val="uk-UA"/>
              </w:rPr>
              <w:t>50</w:t>
            </w:r>
            <w:r w:rsidRPr="00A36578">
              <w:rPr>
                <w:lang w:val="uk-UA"/>
              </w:rPr>
              <w:t xml:space="preserve">. </w:t>
            </w:r>
          </w:p>
          <w:p w:rsidR="00A36578" w:rsidRPr="00A36578" w:rsidRDefault="00A36578" w:rsidP="00B01DA3">
            <w:pPr>
              <w:ind w:firstLine="185"/>
              <w:jc w:val="both"/>
              <w:rPr>
                <w:lang w:val="uk-UA"/>
              </w:rPr>
            </w:pPr>
            <w:r w:rsidRPr="00A36578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36578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курсових робіт </w:t>
            </w:r>
            <w:r w:rsidRPr="00A36578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A36578">
                <w:rPr>
                  <w:rStyle w:val="a3"/>
                  <w:lang w:val="uk-UA"/>
                </w:rPr>
                <w:t>https://ksud.pnu.edu.ua/індивідуальні-завдання/</w:t>
              </w:r>
            </w:hyperlink>
          </w:p>
          <w:p w:rsidR="00A36578" w:rsidRPr="00A36578" w:rsidRDefault="00A36578" w:rsidP="00B01DA3">
            <w:pPr>
              <w:ind w:firstLine="185"/>
              <w:jc w:val="both"/>
              <w:rPr>
                <w:iCs/>
                <w:lang w:val="uk-UA"/>
              </w:rPr>
            </w:pPr>
          </w:p>
        </w:tc>
      </w:tr>
      <w:tr w:rsidR="00A36578" w:rsidRPr="006E3222" w:rsidTr="00B01DA3"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A36578" w:rsidRPr="00A36578" w:rsidTr="00B01DA3">
        <w:trPr>
          <w:trHeight w:val="1620"/>
        </w:trPr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36578" w:rsidRPr="00A36578" w:rsidRDefault="00A36578" w:rsidP="00B01DA3">
            <w:pPr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A36578" w:rsidRPr="00A36578" w:rsidRDefault="00A36578" w:rsidP="00B01DA3">
            <w:pPr>
              <w:jc w:val="both"/>
              <w:rPr>
                <w:lang w:val="uk-UA"/>
              </w:rPr>
            </w:pPr>
          </w:p>
        </w:tc>
      </w:tr>
      <w:tr w:rsidR="00A36578" w:rsidRPr="00A36578" w:rsidTr="00B01DA3">
        <w:trPr>
          <w:trHeight w:val="2888"/>
        </w:trPr>
        <w:tc>
          <w:tcPr>
            <w:tcW w:w="1898" w:type="dxa"/>
            <w:gridSpan w:val="2"/>
          </w:tcPr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578" w:rsidRPr="00A36578" w:rsidRDefault="00A36578" w:rsidP="00B01DA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578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  <w:shd w:val="clear" w:color="auto" w:fill="FFFFFF" w:themeFill="background1"/>
          </w:tcPr>
          <w:p w:rsidR="00A36578" w:rsidRPr="00A36578" w:rsidRDefault="00A36578" w:rsidP="00B01DA3">
            <w:pPr>
              <w:jc w:val="both"/>
              <w:rPr>
                <w:color w:val="000000" w:themeColor="text1"/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 xml:space="preserve">Підсумковий контроль – залік. </w:t>
            </w:r>
          </w:p>
          <w:p w:rsidR="00A36578" w:rsidRPr="00A36578" w:rsidRDefault="00A36578" w:rsidP="00B01DA3">
            <w:pPr>
              <w:jc w:val="both"/>
              <w:rPr>
                <w:color w:val="000000" w:themeColor="text1"/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:rsidR="00A36578" w:rsidRPr="00A36578" w:rsidRDefault="00A36578" w:rsidP="00B01DA3">
            <w:pPr>
              <w:jc w:val="both"/>
              <w:rPr>
                <w:color w:val="000000" w:themeColor="text1"/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 пропусків занять.</w:t>
            </w:r>
          </w:p>
          <w:p w:rsidR="00A36578" w:rsidRPr="00A36578" w:rsidRDefault="00A36578" w:rsidP="00B81C44">
            <w:pPr>
              <w:jc w:val="both"/>
              <w:rPr>
                <w:lang w:val="uk-UA"/>
              </w:rPr>
            </w:pPr>
            <w:r w:rsidRPr="00A36578">
              <w:rPr>
                <w:color w:val="000000" w:themeColor="text1"/>
                <w:lang w:val="uk-UA"/>
              </w:rPr>
              <w:t xml:space="preserve">На залік виноситься </w:t>
            </w:r>
            <w:r w:rsidR="00B81C44">
              <w:rPr>
                <w:color w:val="000000" w:themeColor="text1"/>
                <w:lang w:val="uk-UA"/>
              </w:rPr>
              <w:t>3</w:t>
            </w:r>
            <w:r w:rsidRPr="00A36578">
              <w:rPr>
                <w:color w:val="000000" w:themeColor="text1"/>
                <w:lang w:val="uk-UA"/>
              </w:rPr>
              <w:t xml:space="preserve"> тестових запитан</w:t>
            </w:r>
            <w:r w:rsidR="00B81C44">
              <w:rPr>
                <w:color w:val="000000" w:themeColor="text1"/>
                <w:lang w:val="uk-UA"/>
              </w:rPr>
              <w:t>ня</w:t>
            </w:r>
            <w:r w:rsidRPr="00A36578">
              <w:rPr>
                <w:color w:val="000000" w:themeColor="text1"/>
                <w:lang w:val="uk-UA"/>
              </w:rPr>
              <w:t xml:space="preserve">, які оцінюються по </w:t>
            </w:r>
            <w:r w:rsidR="00B81C44">
              <w:rPr>
                <w:color w:val="000000" w:themeColor="text1"/>
                <w:lang w:val="uk-UA"/>
              </w:rPr>
              <w:t>8</w:t>
            </w:r>
            <w:r w:rsidRPr="00A36578">
              <w:rPr>
                <w:color w:val="000000" w:themeColor="text1"/>
                <w:lang w:val="uk-UA"/>
              </w:rPr>
              <w:t xml:space="preserve"> бал</w:t>
            </w:r>
            <w:r w:rsidR="00B81C44">
              <w:rPr>
                <w:color w:val="000000" w:themeColor="text1"/>
                <w:lang w:val="uk-UA"/>
              </w:rPr>
              <w:t xml:space="preserve">ів, </w:t>
            </w:r>
            <w:r w:rsidR="008806F8">
              <w:rPr>
                <w:color w:val="000000" w:themeColor="text1"/>
                <w:lang w:val="uk-UA"/>
              </w:rPr>
              <w:t xml:space="preserve">2 </w:t>
            </w:r>
            <w:r w:rsidR="00B81C44">
              <w:rPr>
                <w:color w:val="000000" w:themeColor="text1"/>
                <w:lang w:val="uk-UA"/>
              </w:rPr>
              <w:t>описові запитання  по 30  балів і коротке чітке питання на 16 балів</w:t>
            </w:r>
            <w:r w:rsidRPr="00A36578">
              <w:rPr>
                <w:color w:val="000000" w:themeColor="text1"/>
                <w:lang w:val="uk-UA"/>
              </w:rPr>
              <w:t>. В сукупності – 100 балів.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7. Політика навчальної дисципліни</w:t>
            </w:r>
          </w:p>
          <w:p w:rsidR="00A36578" w:rsidRPr="00A36578" w:rsidRDefault="00A36578" w:rsidP="00B01DA3">
            <w:pPr>
              <w:jc w:val="center"/>
              <w:rPr>
                <w:lang w:val="uk-UA"/>
              </w:rPr>
            </w:pPr>
          </w:p>
        </w:tc>
      </w:tr>
      <w:tr w:rsidR="00A36578" w:rsidRPr="006E3222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36578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36578" w:rsidRPr="00A36578" w:rsidRDefault="00A36578" w:rsidP="00B01DA3">
            <w:pPr>
              <w:ind w:firstLine="310"/>
              <w:jc w:val="both"/>
              <w:rPr>
                <w:lang w:val="uk-UA"/>
              </w:rPr>
            </w:pPr>
            <w:r w:rsidRPr="00A36578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36578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36578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A36578">
              <w:rPr>
                <w:lang w:val="uk-UA"/>
              </w:rPr>
              <w:t xml:space="preserve">– </w:t>
            </w:r>
            <w:r w:rsidRPr="00A36578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A36578">
                <w:rPr>
                  <w:rStyle w:val="a3"/>
                  <w:lang w:val="uk-UA"/>
                </w:rPr>
                <w:t>https://ksud.pnu.edu.ua/денна-форма-навчання/</w:t>
              </w:r>
            </w:hyperlink>
            <w:r w:rsidRPr="00A36578">
              <w:rPr>
                <w:iCs/>
                <w:lang w:val="uk-UA"/>
              </w:rPr>
              <w:t xml:space="preserve">; </w:t>
            </w:r>
            <w:hyperlink r:id="rId10" w:history="1">
              <w:r w:rsidRPr="00A36578">
                <w:rPr>
                  <w:rStyle w:val="a3"/>
                  <w:lang w:val="uk-UA"/>
                </w:rPr>
                <w:t>https://ksud.pnu.edu.ua/індивідуальні-завдання/</w:t>
              </w:r>
            </w:hyperlink>
            <w:r w:rsidRPr="00A36578">
              <w:rPr>
                <w:iCs/>
                <w:lang w:val="uk-UA"/>
              </w:rPr>
              <w:t>.</w:t>
            </w:r>
          </w:p>
          <w:p w:rsidR="00A36578" w:rsidRPr="00A36578" w:rsidRDefault="00A36578" w:rsidP="00B01DA3">
            <w:pPr>
              <w:ind w:firstLine="310"/>
              <w:jc w:val="both"/>
              <w:rPr>
                <w:lang w:val="uk-UA"/>
              </w:rPr>
            </w:pPr>
            <w:r w:rsidRPr="00A36578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36578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</w:t>
            </w:r>
            <w:r w:rsidRPr="00A36578">
              <w:rPr>
                <w:rFonts w:eastAsia="TimesNewRomanPSMT"/>
                <w:lang w:val="uk-UA" w:eastAsia="en-US"/>
              </w:rPr>
              <w:lastRenderedPageBreak/>
              <w:t xml:space="preserve">усвідомлюючи наслідки її порушення, що визначається </w:t>
            </w:r>
            <w:r w:rsidRPr="00A36578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A36578">
                <w:rPr>
                  <w:rStyle w:val="a3"/>
                  <w:lang w:val="uk-UA"/>
                </w:rPr>
                <w:t>https://pnu.edu.ua/положення-про-запобігання-плагіату/</w:t>
              </w:r>
            </w:hyperlink>
            <w:r w:rsidRPr="00A36578">
              <w:rPr>
                <w:lang w:val="uk-UA"/>
              </w:rPr>
              <w:t>.</w:t>
            </w:r>
          </w:p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36578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A36578" w:rsidRPr="00A36578" w:rsidRDefault="00A36578" w:rsidP="00B01D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36578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A36578" w:rsidRPr="00A36578" w:rsidRDefault="00A36578" w:rsidP="00B01DA3">
            <w:pPr>
              <w:ind w:firstLine="310"/>
              <w:jc w:val="both"/>
              <w:rPr>
                <w:lang w:val="uk-UA"/>
              </w:rPr>
            </w:pPr>
            <w:r w:rsidRPr="00A36578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A36578">
                <w:rPr>
                  <w:rStyle w:val="a3"/>
                  <w:lang w:val="uk-UA"/>
                </w:rPr>
                <w:t>https://law.pnu.edu.ua/організація-навчального-процесу/</w:t>
              </w:r>
            </w:hyperlink>
            <w:r w:rsidRPr="00A36578">
              <w:rPr>
                <w:lang w:val="uk-UA"/>
              </w:rPr>
              <w:t>).</w:t>
            </w:r>
          </w:p>
        </w:tc>
      </w:tr>
      <w:tr w:rsidR="00A36578" w:rsidRPr="00A36578" w:rsidTr="00B01DA3">
        <w:tc>
          <w:tcPr>
            <w:tcW w:w="9606" w:type="dxa"/>
            <w:gridSpan w:val="9"/>
          </w:tcPr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  <w:r w:rsidRPr="00A36578">
              <w:rPr>
                <w:b/>
                <w:lang w:val="uk-UA"/>
              </w:rPr>
              <w:t>8. Рекомендована література</w:t>
            </w:r>
          </w:p>
          <w:p w:rsidR="00A36578" w:rsidRPr="00A36578" w:rsidRDefault="00A36578" w:rsidP="00B01DA3">
            <w:pPr>
              <w:jc w:val="center"/>
              <w:rPr>
                <w:b/>
                <w:lang w:val="uk-UA"/>
              </w:rPr>
            </w:pPr>
          </w:p>
        </w:tc>
      </w:tr>
      <w:tr w:rsidR="00A36578" w:rsidRPr="006E3222" w:rsidTr="00B01DA3">
        <w:trPr>
          <w:trHeight w:val="5294"/>
        </w:trPr>
        <w:tc>
          <w:tcPr>
            <w:tcW w:w="9606" w:type="dxa"/>
            <w:gridSpan w:val="9"/>
          </w:tcPr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>1. Науково-практичний коментар Кримінального процесуального кодексу України. Зразки процесуальних документів у кримінальному провадженні: станом на 15 березня 2019 року / за заг. ред. М.В. Лошицького. Київ: Видавничий дім «Професіонал», 2019. 1272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 xml:space="preserve"> 2. Кримінальний процес: підручник / О.В. Капліна, О.Г. Шило, Трофименко В.М. та ін.; за заг. ред. О.В. Капліної, О.Г. Шило; Нац. юрид. ун-т ім. Ярослава Мудрого. Харків: Право, 2019. 584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 xml:space="preserve"> 3. Панова А.В. Визнання доказів недопустимими у кримінальному провадженні: монографія. Харків: Право, 2017. 254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>4. Вапнярчук В.В. Теорія і практика кримінального процесуального доказування: монографія. Харків: Юрайт, 2017. 407 с.</w:t>
            </w:r>
          </w:p>
          <w:p w:rsidR="00414EFC" w:rsidRPr="00414EFC" w:rsidRDefault="00414EFC" w:rsidP="00B01DA3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414EFC">
              <w:rPr>
                <w:lang w:val="uk-UA"/>
              </w:rPr>
              <w:t>5. Докази та доказування у кримінальному провадженні: навч. посібник / Р. І. Благута, Ю.В. Гуцуляк, О.М. Дуфенюк та ін. Львів: ЛьвДУВС, 2018. 272 с.</w:t>
            </w:r>
          </w:p>
          <w:p w:rsidR="00A36578" w:rsidRPr="00A36578" w:rsidRDefault="00414EFC" w:rsidP="00414EFC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>
              <w:t xml:space="preserve"> </w:t>
            </w:r>
            <w:r w:rsidR="00A36578" w:rsidRPr="00A36578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414EFC" w:rsidRPr="00710848" w:rsidRDefault="00414EFC" w:rsidP="00414EFC">
            <w:pPr>
              <w:ind w:firstLine="540"/>
              <w:jc w:val="both"/>
              <w:rPr>
                <w:lang w:val="uk-UA"/>
              </w:rPr>
            </w:pPr>
            <w:r w:rsidRPr="00710848">
              <w:rPr>
                <w:lang w:val="uk-UA"/>
              </w:rPr>
              <w:t xml:space="preserve">1. Махінчук В.М., Кульчак Л.С. Кримінально-процесуальні документи: методичні вказівки для підготовки до семінарських занять та самостійної роботи студентів денної форми навчання / В.М. Махінчук, Л.С.Кульчак  – Івано-Франківськ: НН Юридичний інститут Прикарпатського національного університету імені Василя Стефаника, 2019. -32с. </w:t>
            </w:r>
          </w:p>
          <w:p w:rsidR="00414EFC" w:rsidRPr="00710848" w:rsidRDefault="000F7B17" w:rsidP="00414EF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hyperlink r:id="rId13" w:history="1">
              <w:r w:rsidR="00414EFC" w:rsidRPr="00710848">
                <w:rPr>
                  <w:rStyle w:val="a3"/>
                  <w:lang w:val="uk-UA"/>
                </w:rPr>
                <w:t>https://ksud.pnu.edu.ua/денна-форма-навчання/</w:t>
              </w:r>
            </w:hyperlink>
          </w:p>
          <w:p w:rsidR="00A36578" w:rsidRPr="00A36578" w:rsidRDefault="00A36578" w:rsidP="00414EFC">
            <w:pPr>
              <w:pStyle w:val="a6"/>
              <w:ind w:left="0" w:firstLine="709"/>
              <w:jc w:val="both"/>
              <w:rPr>
                <w:lang w:val="uk-UA"/>
              </w:rPr>
            </w:pPr>
          </w:p>
        </w:tc>
      </w:tr>
    </w:tbl>
    <w:p w:rsidR="00A36578" w:rsidRPr="00A36578" w:rsidRDefault="00A36578" w:rsidP="00A36578">
      <w:pPr>
        <w:jc w:val="right"/>
        <w:rPr>
          <w:b/>
          <w:lang w:val="uk-UA"/>
        </w:rPr>
      </w:pPr>
    </w:p>
    <w:p w:rsidR="00A36578" w:rsidRPr="00A36578" w:rsidRDefault="00A36578" w:rsidP="00A36578">
      <w:pPr>
        <w:jc w:val="right"/>
        <w:rPr>
          <w:b/>
          <w:lang w:val="uk-UA"/>
        </w:rPr>
      </w:pPr>
    </w:p>
    <w:p w:rsidR="00A36578" w:rsidRPr="00A36578" w:rsidRDefault="00A36578" w:rsidP="00A36578">
      <w:pPr>
        <w:jc w:val="right"/>
        <w:rPr>
          <w:sz w:val="28"/>
          <w:szCs w:val="28"/>
          <w:lang w:val="uk-UA"/>
        </w:rPr>
      </w:pPr>
      <w:r w:rsidRPr="00A36578">
        <w:rPr>
          <w:b/>
          <w:sz w:val="28"/>
          <w:szCs w:val="28"/>
          <w:lang w:val="uk-UA"/>
        </w:rPr>
        <w:t>Викладач _________________</w:t>
      </w:r>
      <w:r w:rsidRPr="00A36578">
        <w:rPr>
          <w:bCs/>
          <w:sz w:val="28"/>
          <w:szCs w:val="28"/>
          <w:lang w:val="uk-UA"/>
        </w:rPr>
        <w:t xml:space="preserve"> </w:t>
      </w:r>
      <w:r w:rsidR="00273205">
        <w:rPr>
          <w:bCs/>
          <w:sz w:val="28"/>
          <w:szCs w:val="28"/>
          <w:lang w:val="uk-UA"/>
        </w:rPr>
        <w:t xml:space="preserve"> </w:t>
      </w:r>
      <w:r w:rsidR="000604B3">
        <w:rPr>
          <w:bCs/>
          <w:sz w:val="28"/>
          <w:szCs w:val="28"/>
          <w:lang w:val="uk-UA"/>
        </w:rPr>
        <w:t xml:space="preserve">проф. </w:t>
      </w:r>
      <w:r w:rsidR="00273205">
        <w:rPr>
          <w:bCs/>
          <w:sz w:val="28"/>
          <w:szCs w:val="28"/>
          <w:lang w:val="uk-UA"/>
        </w:rPr>
        <w:t xml:space="preserve">В. М. </w:t>
      </w:r>
      <w:r w:rsidR="000604B3">
        <w:rPr>
          <w:bCs/>
          <w:sz w:val="28"/>
          <w:szCs w:val="28"/>
          <w:lang w:val="uk-UA"/>
        </w:rPr>
        <w:t xml:space="preserve">Махінчук </w:t>
      </w:r>
    </w:p>
    <w:p w:rsidR="00A36578" w:rsidRPr="00A36578" w:rsidRDefault="00A36578" w:rsidP="00A36578">
      <w:pPr>
        <w:rPr>
          <w:sz w:val="28"/>
          <w:szCs w:val="28"/>
          <w:lang w:val="uk-UA"/>
        </w:rPr>
      </w:pPr>
    </w:p>
    <w:p w:rsidR="008917CB" w:rsidRPr="00A36578" w:rsidRDefault="008917CB">
      <w:pPr>
        <w:rPr>
          <w:lang w:val="uk-UA"/>
        </w:rPr>
      </w:pPr>
    </w:p>
    <w:sectPr w:rsidR="008917CB" w:rsidRPr="00A36578" w:rsidSect="00CA4525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78"/>
    <w:rsid w:val="000604B3"/>
    <w:rsid w:val="000F7B17"/>
    <w:rsid w:val="00273205"/>
    <w:rsid w:val="002E39E2"/>
    <w:rsid w:val="00414EFC"/>
    <w:rsid w:val="00456CCE"/>
    <w:rsid w:val="00481967"/>
    <w:rsid w:val="004836C9"/>
    <w:rsid w:val="004D67AB"/>
    <w:rsid w:val="005B684D"/>
    <w:rsid w:val="006E3222"/>
    <w:rsid w:val="007D71FE"/>
    <w:rsid w:val="00833DA2"/>
    <w:rsid w:val="008806F8"/>
    <w:rsid w:val="008917CB"/>
    <w:rsid w:val="00980512"/>
    <w:rsid w:val="00A36578"/>
    <w:rsid w:val="00B81C44"/>
    <w:rsid w:val="00C3362B"/>
    <w:rsid w:val="00EE2BF6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36578"/>
    <w:pPr>
      <w:spacing w:after="0" w:line="276" w:lineRule="auto"/>
    </w:pPr>
    <w:rPr>
      <w:rFonts w:ascii="Arial" w:eastAsia="Calibri" w:hAnsi="Arial" w:cs="Arial"/>
      <w:lang w:val="uk-UA" w:eastAsia="uk-UA"/>
    </w:rPr>
  </w:style>
  <w:style w:type="character" w:styleId="a3">
    <w:name w:val="Hyperlink"/>
    <w:basedOn w:val="a0"/>
    <w:uiPriority w:val="99"/>
    <w:rsid w:val="00A3657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3657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365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 списку"/>
    <w:basedOn w:val="a"/>
    <w:uiPriority w:val="99"/>
    <w:rsid w:val="00A36578"/>
    <w:pPr>
      <w:ind w:left="720"/>
      <w:contextualSpacing/>
    </w:pPr>
  </w:style>
  <w:style w:type="paragraph" w:styleId="a7">
    <w:name w:val="List Paragraph"/>
    <w:basedOn w:val="a"/>
    <w:uiPriority w:val="99"/>
    <w:qFormat/>
    <w:rsid w:val="00A36578"/>
    <w:pPr>
      <w:ind w:left="720"/>
      <w:contextualSpacing/>
    </w:pPr>
  </w:style>
  <w:style w:type="paragraph" w:styleId="a8">
    <w:name w:val="Normal (Web)"/>
    <w:basedOn w:val="a"/>
    <w:uiPriority w:val="99"/>
    <w:rsid w:val="00A36578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A3657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36578"/>
    <w:pPr>
      <w:ind w:left="720"/>
      <w:contextualSpacing/>
    </w:pPr>
    <w:rPr>
      <w:lang w:val="en-US" w:eastAsia="en-US"/>
    </w:rPr>
  </w:style>
  <w:style w:type="paragraph" w:styleId="a9">
    <w:name w:val="No Spacing"/>
    <w:uiPriority w:val="1"/>
    <w:qFormat/>
    <w:rsid w:val="0027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36578"/>
    <w:pPr>
      <w:spacing w:after="0" w:line="276" w:lineRule="auto"/>
    </w:pPr>
    <w:rPr>
      <w:rFonts w:ascii="Arial" w:eastAsia="Calibri" w:hAnsi="Arial" w:cs="Arial"/>
      <w:lang w:val="uk-UA" w:eastAsia="uk-UA"/>
    </w:rPr>
  </w:style>
  <w:style w:type="character" w:styleId="a3">
    <w:name w:val="Hyperlink"/>
    <w:basedOn w:val="a0"/>
    <w:uiPriority w:val="99"/>
    <w:rsid w:val="00A3657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3657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365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 списку"/>
    <w:basedOn w:val="a"/>
    <w:uiPriority w:val="99"/>
    <w:rsid w:val="00A36578"/>
    <w:pPr>
      <w:ind w:left="720"/>
      <w:contextualSpacing/>
    </w:pPr>
  </w:style>
  <w:style w:type="paragraph" w:styleId="a7">
    <w:name w:val="List Paragraph"/>
    <w:basedOn w:val="a"/>
    <w:uiPriority w:val="99"/>
    <w:qFormat/>
    <w:rsid w:val="00A36578"/>
    <w:pPr>
      <w:ind w:left="720"/>
      <w:contextualSpacing/>
    </w:pPr>
  </w:style>
  <w:style w:type="paragraph" w:styleId="a8">
    <w:name w:val="Normal (Web)"/>
    <w:basedOn w:val="a"/>
    <w:uiPriority w:val="99"/>
    <w:rsid w:val="00A36578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A3657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36578"/>
    <w:pPr>
      <w:ind w:left="720"/>
      <w:contextualSpacing/>
    </w:pPr>
    <w:rPr>
      <w:lang w:val="en-US" w:eastAsia="en-US"/>
    </w:rPr>
  </w:style>
  <w:style w:type="paragraph" w:styleId="a9">
    <w:name w:val="No Spacing"/>
    <w:uiPriority w:val="1"/>
    <w:qFormat/>
    <w:rsid w:val="0027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10356</Words>
  <Characters>5904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2020-11-01T16:54:00Z</dcterms:created>
  <dcterms:modified xsi:type="dcterms:W3CDTF">2020-11-01T17:14:00Z</dcterms:modified>
</cp:coreProperties>
</file>