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Default="00CE5E06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 судочинства</w:t>
      </w:r>
    </w:p>
    <w:p w:rsidR="00CE5E06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C00B52" w:rsidRDefault="00CE5E06" w:rsidP="00C00B52">
      <w:pPr>
        <w:jc w:val="center"/>
        <w:rPr>
          <w:b/>
          <w:sz w:val="28"/>
          <w:szCs w:val="28"/>
          <w:lang w:val="uk-UA"/>
        </w:rPr>
      </w:pPr>
      <w:r w:rsidRPr="00C00B52">
        <w:rPr>
          <w:b/>
          <w:sz w:val="28"/>
          <w:szCs w:val="28"/>
          <w:lang w:val="uk-UA"/>
        </w:rPr>
        <w:t>СИЛАБУС НАВЧАЛЬНОЇ ДИСЦИПЛІНИ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КРИМІНАЛЬНОМУ ПРОЦЕСІ</w:t>
      </w:r>
    </w:p>
    <w:p w:rsidR="00CE5E06" w:rsidRPr="00E24C45" w:rsidRDefault="00CE5E0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CE5E06" w:rsidRPr="00E24C45" w:rsidRDefault="00CE5E0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Освітня програма Право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Галузь знань 08 Право</w:t>
      </w: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CE5E06" w:rsidRPr="00E24C45" w:rsidRDefault="00CE5E06" w:rsidP="00F54C5E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2</w:t>
      </w:r>
      <w:r w:rsidRPr="00E24C45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31 серпня</w:t>
      </w:r>
      <w:r w:rsidRPr="00E24C45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 р.</w:t>
      </w: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sz w:val="28"/>
          <w:szCs w:val="28"/>
          <w:lang w:val="uk-UA"/>
        </w:rPr>
      </w:pPr>
    </w:p>
    <w:p w:rsidR="00CE5E06" w:rsidRPr="00E24C45" w:rsidRDefault="00CE5E06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</w:t>
      </w:r>
      <w:r>
        <w:rPr>
          <w:sz w:val="28"/>
          <w:szCs w:val="28"/>
          <w:lang w:val="uk-UA"/>
        </w:rPr>
        <w:t>20</w:t>
      </w: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ЗМІСТ</w:t>
      </w: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CE5E06" w:rsidRPr="00BE03E8" w:rsidRDefault="00CE5E06" w:rsidP="00F54C5E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E03E8">
        <w:rPr>
          <w:rFonts w:ascii="Times New Roman" w:hAnsi="Times New Roman" w:cs="Times New Roman"/>
          <w:sz w:val="28"/>
          <w:szCs w:val="28"/>
        </w:rPr>
        <w:t>Політика навчальної дисципліни</w:t>
      </w:r>
    </w:p>
    <w:p w:rsidR="00CE5E06" w:rsidRPr="00E24C45" w:rsidRDefault="00CE5E0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E5E06" w:rsidRPr="00E24C45" w:rsidRDefault="00CE5E06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EE1819">
            <w:pPr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Захист неповнолітніх у кримінальному процесі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lang w:val="uk-UA"/>
              </w:rPr>
              <w:t xml:space="preserve">Махінчук Віталій Миколайович, с.н.с., д.ю.н., професор кафедри судочинства 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Махінчук Віталій Миколайович (0342)59-61-78; (044)23-40-458</w:t>
            </w:r>
          </w:p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F54C5E">
            <w:pPr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Махінчук Віталій Миколайович  </w:t>
            </w:r>
            <w:r w:rsidRPr="008B1B47">
              <w:rPr>
                <w:sz w:val="22"/>
                <w:szCs w:val="22"/>
                <w:lang w:val="en-US"/>
              </w:rPr>
              <w:t>vitalii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makhinchuk</w:t>
            </w:r>
            <w:r w:rsidRPr="008B1B47">
              <w:rPr>
                <w:sz w:val="22"/>
                <w:szCs w:val="22"/>
                <w:lang w:val="uk-UA"/>
              </w:rPr>
              <w:t>@</w:t>
            </w:r>
            <w:r w:rsidRPr="008B1B47">
              <w:rPr>
                <w:sz w:val="22"/>
                <w:szCs w:val="22"/>
                <w:lang w:val="en-US"/>
              </w:rPr>
              <w:t>pnu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edu</w:t>
            </w:r>
            <w:r w:rsidRPr="008B1B47">
              <w:rPr>
                <w:sz w:val="22"/>
                <w:szCs w:val="22"/>
                <w:lang w:val="uk-UA"/>
              </w:rPr>
              <w:t>.</w:t>
            </w:r>
            <w:r w:rsidRPr="008B1B47">
              <w:rPr>
                <w:sz w:val="22"/>
                <w:szCs w:val="22"/>
                <w:lang w:val="en-US"/>
              </w:rPr>
              <w:t>ua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Заочний</w:t>
            </w:r>
          </w:p>
        </w:tc>
      </w:tr>
      <w:tr w:rsidR="00CE5E06" w:rsidRPr="00E24C45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CE5E06" w:rsidRPr="00BF5E8C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hyperlink r:id="rId5" w:tgtFrame="_blank" w:history="1">
              <w:r w:rsidRPr="008B1B47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CE5E06" w:rsidRPr="00F54C5E" w:rsidTr="008B1B47">
        <w:tc>
          <w:tcPr>
            <w:tcW w:w="2547" w:type="dxa"/>
            <w:gridSpan w:val="3"/>
          </w:tcPr>
          <w:p w:rsidR="00CE5E06" w:rsidRPr="008B1B47" w:rsidRDefault="00CE5E06" w:rsidP="008B1B4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B1B47">
              <w:rPr>
                <w:rStyle w:val="Hyperlink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8B1B47">
              <w:rPr>
                <w:sz w:val="22"/>
                <w:szCs w:val="22"/>
                <w:lang w:val="uk-UA"/>
              </w:rPr>
              <w:t xml:space="preserve"> вивчення  навчальної дисципліни є особливості захисту неповнолітніх кримінальному процесі</w:t>
            </w:r>
            <w:r w:rsidRPr="008B1B47">
              <w:rPr>
                <w:rFonts w:eastAsia="TimesNewRomanPSMT"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Програма навчальної дисципліни складається з таких </w:t>
            </w:r>
            <w:r w:rsidRPr="008B1B47">
              <w:rPr>
                <w:sz w:val="22"/>
                <w:szCs w:val="22"/>
                <w:u w:val="single"/>
                <w:lang w:val="uk-UA"/>
              </w:rPr>
              <w:t>змістових модулів</w:t>
            </w:r>
            <w:r w:rsidRPr="008B1B47">
              <w:rPr>
                <w:sz w:val="22"/>
                <w:szCs w:val="22"/>
                <w:lang w:val="uk-UA"/>
              </w:rPr>
              <w:t>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1. Загальна характеристика кримінального провадження щодо неповнолітніх. 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2. Методичні тактичні прийоми захисту неповнолітніх у кримінальному провадженні.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Викладання курсу «Захист неповнолітніх у кримінальному процесі» забезпечує виховання майбутніх юристів, які добре розуміють суть кримінального провадження щодо неповнолітніх та методику і тактику захисту неповнолітніх  і здатних забезпечити дотримання, захист прав, свобод та інтересів громадян. Вивчення курсу забезпечує професійну підготовку кваліфікованих фахівців для роботи медіатора, адвоката, прокурора, судді.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яке регулює кримінальне провадження щодо неповнолітніх,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u w:val="single"/>
                <w:lang w:val="uk-UA"/>
              </w:rPr>
              <w:t>Основними джерелами</w:t>
            </w:r>
            <w:r w:rsidRPr="008B1B47">
              <w:rPr>
                <w:sz w:val="22"/>
                <w:szCs w:val="22"/>
                <w:lang w:val="uk-UA"/>
              </w:rPr>
              <w:t xml:space="preserve"> цієї галузі виступають Кримінальний процесуальний кодекс України, Кримінальний кодекс України, Закон України «Про органи і служби у справах неповнолітніх та спеціальні установи для неповнолітніх» Конвенція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Pr="008B1B4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захисту неповнолітніх у кримінальному провадежнні,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3. Мета та цілі навчальної дисципліни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i/>
                <w:iCs/>
                <w:sz w:val="22"/>
                <w:szCs w:val="22"/>
                <w:lang w:val="uk-UA"/>
              </w:rPr>
              <w:t xml:space="preserve">Метою </w:t>
            </w:r>
            <w:r w:rsidRPr="008B1B47">
              <w:rPr>
                <w:sz w:val="22"/>
                <w:szCs w:val="22"/>
                <w:lang w:val="uk-UA"/>
              </w:rPr>
              <w:t>вивчення курсу є дати студентам необхідні знання про способи та прийоми захисту неповнолітніх у кримінальному процесі.</w:t>
            </w:r>
          </w:p>
          <w:p w:rsidR="00CE5E06" w:rsidRPr="008B1B47" w:rsidRDefault="00CE5E06" w:rsidP="008B1B47">
            <w:pPr>
              <w:pStyle w:val="BodyText3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8B1B47">
              <w:rPr>
                <w:b/>
                <w:i/>
                <w:sz w:val="22"/>
                <w:szCs w:val="22"/>
              </w:rPr>
              <w:t>Основними цілями</w:t>
            </w:r>
            <w:r w:rsidRPr="008B1B47">
              <w:rPr>
                <w:b/>
                <w:sz w:val="22"/>
                <w:szCs w:val="22"/>
              </w:rPr>
              <w:t xml:space="preserve"> </w:t>
            </w:r>
            <w:r w:rsidRPr="008B1B47">
              <w:rPr>
                <w:sz w:val="22"/>
                <w:szCs w:val="22"/>
              </w:rPr>
              <w:t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необхідних процесуальних документів. Засвоєння предмету є необхідним етапом отримання вищої юридичної освіти.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4. Програмні компетентності та результати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Відповідно до вимог освітньої програми студенти повинні:</w:t>
            </w:r>
          </w:p>
          <w:p w:rsidR="00CE5E06" w:rsidRPr="008B1B47" w:rsidRDefault="00CE5E06" w:rsidP="008B1B47">
            <w:pPr>
              <w:tabs>
                <w:tab w:val="left" w:pos="877"/>
              </w:tabs>
              <w:ind w:firstLine="310"/>
              <w:jc w:val="both"/>
              <w:rPr>
                <w:iCs/>
                <w:sz w:val="22"/>
                <w:szCs w:val="22"/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знати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психофізичні особливості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гарантії неповнолітнім права на захист у кримінальному провадженні;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методику захисту неповнолітніх під час кримінального провадження;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джерела права, які регулюють кримінальне провадження щодо неповнолітніх; 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тактичні прийоми захисту неповнолітніх; </w:t>
            </w:r>
          </w:p>
          <w:p w:rsidR="00CE5E06" w:rsidRPr="008B1B47" w:rsidRDefault="00CE5E06" w:rsidP="008B1B47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8B1B47">
              <w:rPr>
                <w:iCs/>
                <w:sz w:val="22"/>
                <w:szCs w:val="22"/>
                <w:u w:val="single"/>
                <w:lang w:val="uk-UA"/>
              </w:rPr>
              <w:t>вміти</w:t>
            </w:r>
            <w:r w:rsidRPr="008B1B47">
              <w:rPr>
                <w:sz w:val="22"/>
                <w:szCs w:val="22"/>
                <w:u w:val="single"/>
                <w:lang w:val="uk-UA"/>
              </w:rPr>
              <w:t xml:space="preserve"> :</w:t>
            </w:r>
          </w:p>
          <w:p w:rsidR="00CE5E06" w:rsidRPr="008B1B47" w:rsidRDefault="00CE5E06" w:rsidP="008B1B47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орієнтуватись у системі кримінально-процесуального кримінального провадженні відносно неповнолітніх.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CE5E06" w:rsidRPr="008B1B47" w:rsidRDefault="00CE5E06" w:rsidP="008B1B47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складати процесуальні документи та ділову документацію в процесі захисту прав неповнолітніх у кримінальному процесі.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</w:tr>
      <w:tr w:rsidR="00CE5E06" w:rsidRPr="00E24C45" w:rsidTr="008B1B47">
        <w:tc>
          <w:tcPr>
            <w:tcW w:w="3050" w:type="dxa"/>
            <w:gridSpan w:val="4"/>
          </w:tcPr>
          <w:p w:rsidR="00CE5E06" w:rsidRPr="008B1B47" w:rsidRDefault="00CE5E06" w:rsidP="008B1B47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CE5E06" w:rsidRPr="00E24C45" w:rsidTr="008B1B47">
        <w:tc>
          <w:tcPr>
            <w:tcW w:w="1513" w:type="dxa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Курс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Нормативний /</w:t>
            </w:r>
          </w:p>
          <w:p w:rsidR="00CE5E06" w:rsidRPr="008B1B47" w:rsidRDefault="00CE5E06" w:rsidP="008B1B4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8B1B47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CE5E06" w:rsidRPr="00E24C45" w:rsidTr="008B1B47">
        <w:tc>
          <w:tcPr>
            <w:tcW w:w="1513" w:type="dxa"/>
          </w:tcPr>
          <w:p w:rsidR="00CE5E06" w:rsidRPr="008B1B47" w:rsidRDefault="00CE5E06" w:rsidP="008B1B4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CE5E06" w:rsidRPr="008B1B47" w:rsidRDefault="00CE5E06" w:rsidP="008B1B4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Тематика курсу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 w:val="restart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CE5E06" w:rsidRPr="00E24C45" w:rsidTr="008B1B47">
        <w:tc>
          <w:tcPr>
            <w:tcW w:w="6232" w:type="dxa"/>
            <w:gridSpan w:val="6"/>
            <w:vMerge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І. Загальна характеристика кримінального провадження щодо неповнолітніх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1. Психофізіологічні особливості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2. Процесуальний статус неповнолітнього 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11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3. 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4. 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Модуль ІІ. Методичні тактичні прийоми захисту неповнолітніх у кримінальному провадженні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Тема № 5. </w:t>
            </w:r>
            <w:r w:rsidRPr="008B1B47">
              <w:rPr>
                <w:color w:val="000000"/>
                <w:sz w:val="22"/>
                <w:szCs w:val="22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9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 6. 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Тема №7. 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Cs/>
                <w:sz w:val="22"/>
                <w:szCs w:val="22"/>
                <w:lang w:val="uk-UA"/>
              </w:rPr>
              <w:t>12</w:t>
            </w:r>
          </w:p>
        </w:tc>
      </w:tr>
      <w:tr w:rsidR="00CE5E06" w:rsidRPr="00E24C45" w:rsidTr="008B1B47">
        <w:tc>
          <w:tcPr>
            <w:tcW w:w="6232" w:type="dxa"/>
            <w:gridSpan w:val="6"/>
          </w:tcPr>
          <w:p w:rsidR="00CE5E06" w:rsidRPr="008B1B47" w:rsidRDefault="00CE5E06" w:rsidP="008B1B47">
            <w:pPr>
              <w:jc w:val="right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80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CE5E06" w:rsidRPr="00BF5E8C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8B1B47">
                <w:rPr>
                  <w:rStyle w:val="Hyperlink"/>
                  <w:sz w:val="22"/>
                  <w:szCs w:val="22"/>
                </w:rPr>
                <w:t>https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Hyperlink"/>
                  <w:sz w:val="22"/>
                  <w:szCs w:val="22"/>
                </w:rPr>
                <w:t>law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pnu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edu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ua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i/>
                <w:iCs/>
                <w:sz w:val="22"/>
                <w:szCs w:val="22"/>
                <w:lang w:val="uk-UA"/>
              </w:rPr>
              <w:t>..</w:t>
            </w:r>
          </w:p>
        </w:tc>
      </w:tr>
      <w:tr w:rsidR="00CE5E06" w:rsidRPr="00BF5E8C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ind w:firstLine="185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8B1B47">
              <w:rPr>
                <w:i/>
                <w:sz w:val="22"/>
                <w:szCs w:val="22"/>
                <w:lang w:val="uk-UA"/>
              </w:rPr>
              <w:t xml:space="preserve">програмові вимоги до здачі заліку розміщені на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>сайті кафедри</w:t>
            </w:r>
            <w:r w:rsidRPr="008B1B47">
              <w:rPr>
                <w:sz w:val="22"/>
                <w:szCs w:val="22"/>
                <w:lang w:val="uk-UA"/>
              </w:rPr>
              <w:t xml:space="preserve"> </w:t>
            </w:r>
            <w:hyperlink r:id="rId7" w:history="1">
              <w:r w:rsidRPr="008B1B47">
                <w:rPr>
                  <w:rStyle w:val="Hyperlink"/>
                  <w:iCs/>
                  <w:sz w:val="22"/>
                  <w:szCs w:val="22"/>
                  <w:lang w:val="uk-UA"/>
                </w:rPr>
                <w:t>https://kkp.pnu.edu.ua/заочна-форма/</w:t>
              </w:r>
            </w:hyperlink>
          </w:p>
        </w:tc>
      </w:tr>
      <w:tr w:rsidR="00CE5E06" w:rsidRPr="001E11E0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CE5E06" w:rsidRPr="00E24C45" w:rsidTr="008B1B47">
        <w:tc>
          <w:tcPr>
            <w:tcW w:w="1898" w:type="dxa"/>
            <w:gridSpan w:val="2"/>
          </w:tcPr>
          <w:p w:rsidR="00CE5E06" w:rsidRPr="008B1B47" w:rsidRDefault="00CE5E06" w:rsidP="008B1B4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B47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CE5E06" w:rsidRPr="008B1B47" w:rsidRDefault="00CE5E06" w:rsidP="00BF5E8C">
            <w:pPr>
              <w:jc w:val="both"/>
              <w:rPr>
                <w:iCs/>
                <w:sz w:val="22"/>
                <w:szCs w:val="22"/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Підсумковий контроль – залік.</w:t>
            </w:r>
          </w:p>
          <w:p w:rsidR="00CE5E06" w:rsidRPr="008B1B47" w:rsidRDefault="00CE5E06" w:rsidP="008B1B47">
            <w:pPr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iCs/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CE5E06" w:rsidRPr="00BF5E8C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B1B47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8B1B47">
              <w:rPr>
                <w:sz w:val="22"/>
                <w:szCs w:val="22"/>
                <w:lang w:val="uk-UA"/>
              </w:rPr>
              <w:t xml:space="preserve">– </w:t>
            </w:r>
            <w:r w:rsidRPr="008B1B47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8B1B47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 xml:space="preserve">; </w:t>
            </w:r>
            <w:hyperlink r:id="rId9" w:history="1">
              <w:r w:rsidRPr="008B1B47">
                <w:rPr>
                  <w:rStyle w:val="Hyperlink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B1B47">
              <w:rPr>
                <w:iCs/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B1B47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8B1B47">
                <w:rPr>
                  <w:rStyle w:val="Hyperlink"/>
                  <w:sz w:val="22"/>
                  <w:szCs w:val="22"/>
                </w:rPr>
                <w:t>https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Hyperlink"/>
                  <w:sz w:val="22"/>
                  <w:szCs w:val="22"/>
                </w:rPr>
                <w:t>pnu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edu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ua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B1B47">
              <w:rPr>
                <w:sz w:val="22"/>
                <w:szCs w:val="22"/>
                <w:lang w:val="uk-UA"/>
              </w:rPr>
              <w:t>.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CE5E06" w:rsidRPr="008B1B47" w:rsidRDefault="00CE5E06" w:rsidP="008B1B4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 w:rsidRPr="008B1B47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CE5E06" w:rsidRPr="008B1B47" w:rsidRDefault="00CE5E06" w:rsidP="008B1B47">
            <w:pPr>
              <w:ind w:firstLine="310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8B1B47">
                <w:rPr>
                  <w:rStyle w:val="Hyperlink"/>
                  <w:sz w:val="22"/>
                  <w:szCs w:val="22"/>
                </w:rPr>
                <w:t>https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8B1B47">
                <w:rPr>
                  <w:rStyle w:val="Hyperlink"/>
                  <w:sz w:val="22"/>
                  <w:szCs w:val="22"/>
                </w:rPr>
                <w:t>law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pnu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edu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8B1B47">
                <w:rPr>
                  <w:rStyle w:val="Hyperlink"/>
                  <w:sz w:val="22"/>
                  <w:szCs w:val="22"/>
                </w:rPr>
                <w:t>ua</w:t>
              </w:r>
              <w:r w:rsidRPr="008B1B47"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B1B47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CE5E06" w:rsidRPr="00E24C45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B1B47">
              <w:rPr>
                <w:b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CE5E06" w:rsidRPr="00F54C5E" w:rsidTr="008B1B47">
        <w:tc>
          <w:tcPr>
            <w:tcW w:w="9345" w:type="dxa"/>
            <w:gridSpan w:val="9"/>
          </w:tcPr>
          <w:p w:rsidR="00CE5E06" w:rsidRPr="008B1B47" w:rsidRDefault="00CE5E06" w:rsidP="008B1B47">
            <w:pPr>
              <w:pStyle w:val="FootnoteText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Кримінальний процесуальний кодекс України. Науковопрактичний коментар: у 2 т. Т.2/ Є.М. Блажівський, Ю.М. Грошевий, Ю.М. Дьомін та інші; заг. ред. В.Я. Тація, В.П. Пшонки, А.В. Портнова – Х.: Право, 2012. – 664 с. </w:t>
            </w:r>
          </w:p>
          <w:p w:rsidR="00CE5E06" w:rsidRPr="008B1B47" w:rsidRDefault="00CE5E06" w:rsidP="008B1B47">
            <w:pPr>
              <w:pStyle w:val="FootnoteText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Землянська В.В. Відновне правосуддя в кримінальному процесі України. Посібник. - К.: Видавець Захаренко В.О., 2008. - 200 с. </w:t>
            </w:r>
          </w:p>
          <w:p w:rsidR="00CE5E06" w:rsidRPr="008B1B47" w:rsidRDefault="00CE5E06" w:rsidP="008B1B47">
            <w:pPr>
              <w:pStyle w:val="FootnoteText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>Методичні рекомендації для суддів щодо розгляду кримінальних проваджень стосовно неповнолітніх: [</w:t>
            </w:r>
            <w:r w:rsidRPr="008B1B47">
              <w:rPr>
                <w:snapToGrid w:val="0"/>
                <w:sz w:val="22"/>
                <w:szCs w:val="22"/>
              </w:rPr>
              <w:t>Електронний ресурс</w:t>
            </w:r>
            <w:r w:rsidRPr="008B1B47">
              <w:rPr>
                <w:sz w:val="22"/>
                <w:szCs w:val="22"/>
              </w:rPr>
              <w:t xml:space="preserve">]/ Вищий спеціалізований суду України з розгляду цивільних і кримінальних справ. – </w:t>
            </w:r>
            <w:r w:rsidRPr="008B1B47">
              <w:rPr>
                <w:snapToGrid w:val="0"/>
                <w:sz w:val="22"/>
                <w:szCs w:val="22"/>
              </w:rPr>
              <w:t xml:space="preserve">Режим доступу: </w:t>
            </w:r>
            <w:hyperlink r:id="rId12" w:history="1">
              <w:r w:rsidRPr="008B1B47">
                <w:rPr>
                  <w:rStyle w:val="Hyperlink"/>
                  <w:color w:val="auto"/>
                  <w:sz w:val="22"/>
                  <w:szCs w:val="22"/>
                </w:rPr>
                <w:t>http://safeschools.com.ua/upload/metodrekom-compressed.pdf</w:t>
              </w:r>
            </w:hyperlink>
            <w:r w:rsidRPr="008B1B47">
              <w:rPr>
                <w:sz w:val="22"/>
                <w:szCs w:val="22"/>
              </w:rPr>
              <w:t>.</w:t>
            </w:r>
          </w:p>
          <w:p w:rsidR="00CE5E06" w:rsidRPr="008B1B47" w:rsidRDefault="00CE5E06" w:rsidP="008B1B47">
            <w:pPr>
              <w:pStyle w:val="FootnoteText"/>
              <w:numPr>
                <w:ilvl w:val="0"/>
                <w:numId w:val="15"/>
              </w:numPr>
              <w:ind w:left="0"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>Зеленський С.М., Назаренко С.П., Письменний Д.П. Провадження у справах дітей, які не досягли віку кримінальної відповідальності: Навчальний посібник. – К.: КНТ, 2012. – 160 с.</w:t>
            </w:r>
          </w:p>
          <w:p w:rsidR="00CE5E06" w:rsidRPr="008B1B47" w:rsidRDefault="00CE5E06" w:rsidP="008B1B47">
            <w:pPr>
              <w:pStyle w:val="FootnoteText"/>
              <w:ind w:firstLine="567"/>
              <w:jc w:val="both"/>
              <w:rPr>
                <w:sz w:val="22"/>
                <w:szCs w:val="22"/>
              </w:rPr>
            </w:pPr>
            <w:r w:rsidRPr="008B1B47">
              <w:rPr>
                <w:sz w:val="22"/>
                <w:szCs w:val="22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Горблянський В. Я. Захист неповнолітніх у кримінальному процесі: навчально-методичний посібник для забезпечення самостійної роботи студентів спеціальності 081 Право. Івано-Франківськ, 2019. 18 с. </w:t>
            </w:r>
          </w:p>
          <w:p w:rsidR="00CE5E06" w:rsidRPr="008B1B47" w:rsidRDefault="00CE5E06" w:rsidP="008B1B47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567"/>
              <w:jc w:val="both"/>
              <w:rPr>
                <w:sz w:val="22"/>
                <w:szCs w:val="22"/>
                <w:lang w:val="uk-UA"/>
              </w:rPr>
            </w:pPr>
            <w:r w:rsidRPr="008B1B47">
              <w:rPr>
                <w:sz w:val="22"/>
                <w:szCs w:val="22"/>
                <w:lang w:val="uk-UA"/>
              </w:rPr>
              <w:t xml:space="preserve">Горблянський В. Я. Захист неповнолітніх у кримінальному процесі: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2019. 17 с. </w:t>
            </w:r>
          </w:p>
        </w:tc>
      </w:tr>
    </w:tbl>
    <w:p w:rsidR="00CE5E06" w:rsidRPr="00E24C45" w:rsidRDefault="00CE5E06" w:rsidP="00395013">
      <w:pPr>
        <w:jc w:val="both"/>
        <w:rPr>
          <w:lang w:val="uk-UA"/>
        </w:rPr>
      </w:pPr>
    </w:p>
    <w:p w:rsidR="00CE5E06" w:rsidRPr="00E24C45" w:rsidRDefault="00CE5E06" w:rsidP="00395013">
      <w:pPr>
        <w:jc w:val="both"/>
        <w:rPr>
          <w:sz w:val="28"/>
          <w:szCs w:val="28"/>
          <w:lang w:val="uk-UA"/>
        </w:rPr>
      </w:pPr>
    </w:p>
    <w:p w:rsidR="00CE5E06" w:rsidRDefault="00CE5E06" w:rsidP="00F54C5E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Викладач _________________</w:t>
      </w:r>
      <w:r w:rsidRPr="00E24C45">
        <w:rPr>
          <w:bCs/>
          <w:sz w:val="28"/>
          <w:szCs w:val="28"/>
          <w:lang w:val="uk-UA"/>
        </w:rPr>
        <w:t xml:space="preserve"> </w:t>
      </w:r>
      <w:r w:rsidRPr="008F054B">
        <w:rPr>
          <w:bCs/>
          <w:sz w:val="28"/>
          <w:szCs w:val="28"/>
          <w:lang w:val="uk-UA"/>
        </w:rPr>
        <w:t>с.н.с. В.М. Махінчук</w:t>
      </w:r>
      <w:bookmarkStart w:id="0" w:name="_GoBack"/>
      <w:bookmarkEnd w:id="0"/>
    </w:p>
    <w:p w:rsidR="00CE5E06" w:rsidRPr="00E24C45" w:rsidRDefault="00CE5E06" w:rsidP="00F54C5E">
      <w:pPr>
        <w:jc w:val="right"/>
        <w:rPr>
          <w:bCs/>
          <w:sz w:val="28"/>
          <w:szCs w:val="28"/>
          <w:lang w:val="uk-UA"/>
        </w:rPr>
      </w:pPr>
    </w:p>
    <w:sectPr w:rsidR="00CE5E06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97EF6"/>
    <w:rsid w:val="002C2330"/>
    <w:rsid w:val="002E3975"/>
    <w:rsid w:val="0030000E"/>
    <w:rsid w:val="00317E76"/>
    <w:rsid w:val="0032281A"/>
    <w:rsid w:val="00325443"/>
    <w:rsid w:val="00330E4C"/>
    <w:rsid w:val="00335A19"/>
    <w:rsid w:val="00352803"/>
    <w:rsid w:val="00360C2D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4287"/>
    <w:rsid w:val="004A515E"/>
    <w:rsid w:val="004D3977"/>
    <w:rsid w:val="004F7AFF"/>
    <w:rsid w:val="00534734"/>
    <w:rsid w:val="00550E4D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6D44F9"/>
    <w:rsid w:val="00741461"/>
    <w:rsid w:val="00784AB3"/>
    <w:rsid w:val="007A08B0"/>
    <w:rsid w:val="007F6A6B"/>
    <w:rsid w:val="00816393"/>
    <w:rsid w:val="00835D68"/>
    <w:rsid w:val="008B1B47"/>
    <w:rsid w:val="008F054B"/>
    <w:rsid w:val="00905982"/>
    <w:rsid w:val="00911755"/>
    <w:rsid w:val="00923D1A"/>
    <w:rsid w:val="009506C9"/>
    <w:rsid w:val="0095499A"/>
    <w:rsid w:val="00982EB9"/>
    <w:rsid w:val="00996A99"/>
    <w:rsid w:val="009A2779"/>
    <w:rsid w:val="009F1EE0"/>
    <w:rsid w:val="00A227B3"/>
    <w:rsid w:val="00A25CBD"/>
    <w:rsid w:val="00A64A54"/>
    <w:rsid w:val="00A9121D"/>
    <w:rsid w:val="00A92CAE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E03E8"/>
    <w:rsid w:val="00BF06FB"/>
    <w:rsid w:val="00BF5E8C"/>
    <w:rsid w:val="00C00B52"/>
    <w:rsid w:val="00C060E3"/>
    <w:rsid w:val="00C207DE"/>
    <w:rsid w:val="00C354E6"/>
    <w:rsid w:val="00C53ABE"/>
    <w:rsid w:val="00C630E3"/>
    <w:rsid w:val="00C67355"/>
    <w:rsid w:val="00C81B4F"/>
    <w:rsid w:val="00CA1BE2"/>
    <w:rsid w:val="00CC397F"/>
    <w:rsid w:val="00CE5E06"/>
    <w:rsid w:val="00D22E42"/>
    <w:rsid w:val="00D264CF"/>
    <w:rsid w:val="00D4155D"/>
    <w:rsid w:val="00D66F9A"/>
    <w:rsid w:val="00D74B80"/>
    <w:rsid w:val="00DC2B9D"/>
    <w:rsid w:val="00DE6977"/>
    <w:rsid w:val="00E13D32"/>
    <w:rsid w:val="00E24C45"/>
    <w:rsid w:val="00EA0FD0"/>
    <w:rsid w:val="00EB0E8D"/>
    <w:rsid w:val="00EE1819"/>
    <w:rsid w:val="00EE4289"/>
    <w:rsid w:val="00F17399"/>
    <w:rsid w:val="00F26A95"/>
    <w:rsid w:val="00F54C5E"/>
    <w:rsid w:val="00F816EC"/>
    <w:rsid w:val="00F9137E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352803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2803"/>
    <w:rPr>
      <w:rFonts w:ascii="Times New Roman" w:hAnsi="Times New Roman" w:cs="Times New Roman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64A54"/>
    <w:rPr>
      <w:sz w:val="20"/>
      <w:szCs w:val="20"/>
      <w:lang w:val="uk-U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4A5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p.pnu.edu.ua/&#1079;&#1072;&#1086;&#1095;&#1085;&#1072;-&#1092;&#1086;&#1088;&#1084;&#1072;/" TargetMode="External"/><Relationship Id="rId12" Type="http://schemas.openxmlformats.org/officeDocument/2006/relationships/hyperlink" Target="http://safeschools.com.ua/upload/metodrekom-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8046</Words>
  <Characters>4587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6</cp:revision>
  <cp:lastPrinted>2019-09-27T06:35:00Z</cp:lastPrinted>
  <dcterms:created xsi:type="dcterms:W3CDTF">2020-10-23T09:07:00Z</dcterms:created>
  <dcterms:modified xsi:type="dcterms:W3CDTF">2020-10-26T12:18:00Z</dcterms:modified>
</cp:coreProperties>
</file>