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7B" w:rsidRPr="00236091" w:rsidRDefault="002F2E7B" w:rsidP="00236091">
      <w:pPr>
        <w:pStyle w:val="a3"/>
        <w:ind w:left="-426" w:right="-142" w:firstLine="710"/>
        <w:jc w:val="right"/>
        <w:rPr>
          <w:rFonts w:ascii="Times New Roman" w:hAnsi="Times New Roman"/>
          <w:sz w:val="24"/>
          <w:szCs w:val="24"/>
        </w:rPr>
      </w:pPr>
      <w:r w:rsidRPr="00236091">
        <w:rPr>
          <w:rFonts w:ascii="Times New Roman" w:hAnsi="Times New Roman"/>
          <w:sz w:val="24"/>
          <w:szCs w:val="24"/>
        </w:rPr>
        <w:t>Затверджено на засіданні кафедри</w:t>
      </w:r>
    </w:p>
    <w:p w:rsidR="002F2E7B" w:rsidRPr="00236091" w:rsidRDefault="002F2E7B" w:rsidP="00236091">
      <w:pPr>
        <w:pStyle w:val="a3"/>
        <w:ind w:left="-426" w:right="-142" w:firstLine="710"/>
        <w:jc w:val="right"/>
        <w:rPr>
          <w:rFonts w:ascii="Times New Roman" w:hAnsi="Times New Roman"/>
          <w:sz w:val="24"/>
          <w:szCs w:val="24"/>
        </w:rPr>
      </w:pPr>
      <w:r w:rsidRPr="00236091">
        <w:rPr>
          <w:rFonts w:ascii="Times New Roman" w:hAnsi="Times New Roman"/>
          <w:sz w:val="24"/>
          <w:szCs w:val="24"/>
        </w:rPr>
        <w:t>цивільного права</w:t>
      </w:r>
    </w:p>
    <w:p w:rsidR="002F2E7B" w:rsidRPr="00A06A73" w:rsidRDefault="00A06A73" w:rsidP="00236091">
      <w:pPr>
        <w:pStyle w:val="a3"/>
        <w:ind w:left="-426" w:right="-142" w:firstLine="710"/>
        <w:jc w:val="right"/>
        <w:rPr>
          <w:rFonts w:ascii="Times New Roman" w:hAnsi="Times New Roman"/>
          <w:i/>
          <w:sz w:val="24"/>
          <w:szCs w:val="24"/>
        </w:rPr>
      </w:pPr>
      <w:r w:rsidRPr="00A06A73">
        <w:rPr>
          <w:rFonts w:ascii="Times New Roman" w:hAnsi="Times New Roman"/>
          <w:i/>
          <w:sz w:val="24"/>
          <w:szCs w:val="24"/>
        </w:rPr>
        <w:t>(п</w:t>
      </w:r>
      <w:r w:rsidR="002F2E7B" w:rsidRPr="00A06A73">
        <w:rPr>
          <w:rFonts w:ascii="Times New Roman" w:hAnsi="Times New Roman"/>
          <w:i/>
          <w:sz w:val="24"/>
          <w:szCs w:val="24"/>
        </w:rPr>
        <w:t xml:space="preserve">ротокол № 1 від </w:t>
      </w:r>
      <w:r w:rsidRPr="00A06A73">
        <w:rPr>
          <w:rFonts w:ascii="Times New Roman" w:hAnsi="Times New Roman"/>
          <w:i/>
          <w:sz w:val="24"/>
          <w:szCs w:val="24"/>
        </w:rPr>
        <w:t>31 серпня 2018</w:t>
      </w:r>
      <w:r w:rsidR="002F2E7B" w:rsidRPr="00A06A73">
        <w:rPr>
          <w:rFonts w:ascii="Times New Roman" w:hAnsi="Times New Roman"/>
          <w:i/>
          <w:sz w:val="24"/>
          <w:szCs w:val="24"/>
        </w:rPr>
        <w:t xml:space="preserve"> р.</w:t>
      </w:r>
      <w:r w:rsidRPr="00A06A73">
        <w:rPr>
          <w:rFonts w:ascii="Times New Roman" w:hAnsi="Times New Roman"/>
          <w:i/>
          <w:sz w:val="24"/>
          <w:szCs w:val="24"/>
        </w:rPr>
        <w:t>)</w:t>
      </w:r>
    </w:p>
    <w:p w:rsidR="002F2E7B" w:rsidRPr="0004763B" w:rsidRDefault="002F2E7B" w:rsidP="002F2E7B">
      <w:pPr>
        <w:pStyle w:val="a3"/>
        <w:spacing w:line="360" w:lineRule="auto"/>
        <w:ind w:left="-426" w:right="-142" w:firstLine="710"/>
        <w:jc w:val="both"/>
        <w:rPr>
          <w:rFonts w:ascii="Times New Roman" w:hAnsi="Times New Roman"/>
          <w:b/>
          <w:sz w:val="28"/>
          <w:szCs w:val="28"/>
        </w:rPr>
      </w:pPr>
    </w:p>
    <w:p w:rsidR="002F2E7B" w:rsidRDefault="002F2E7B" w:rsidP="00A06A73">
      <w:pPr>
        <w:pStyle w:val="a3"/>
        <w:ind w:left="-709" w:right="-284" w:firstLine="709"/>
        <w:jc w:val="center"/>
        <w:rPr>
          <w:rFonts w:ascii="Times New Roman" w:hAnsi="Times New Roman"/>
          <w:b/>
          <w:sz w:val="28"/>
          <w:szCs w:val="28"/>
        </w:rPr>
      </w:pPr>
      <w:r w:rsidRPr="00D00435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итання для поточного та підсумкового контролю знань</w:t>
      </w:r>
      <w:r w:rsidRPr="00D00435">
        <w:rPr>
          <w:rFonts w:ascii="Times New Roman" w:hAnsi="Times New Roman"/>
          <w:b/>
          <w:sz w:val="28"/>
          <w:szCs w:val="28"/>
        </w:rPr>
        <w:t xml:space="preserve"> </w:t>
      </w:r>
    </w:p>
    <w:p w:rsidR="002F2E7B" w:rsidRDefault="002F2E7B" w:rsidP="00A06A73">
      <w:pPr>
        <w:pStyle w:val="a3"/>
        <w:ind w:left="-709" w:right="-284" w:firstLine="709"/>
        <w:jc w:val="center"/>
        <w:rPr>
          <w:rFonts w:ascii="Times New Roman" w:hAnsi="Times New Roman"/>
          <w:b/>
          <w:sz w:val="28"/>
          <w:szCs w:val="28"/>
        </w:rPr>
      </w:pPr>
      <w:r w:rsidRPr="00D00435">
        <w:rPr>
          <w:rFonts w:ascii="Times New Roman" w:hAnsi="Times New Roman"/>
          <w:b/>
          <w:sz w:val="28"/>
          <w:szCs w:val="28"/>
        </w:rPr>
        <w:t xml:space="preserve">із навчальної дисципліни </w:t>
      </w:r>
    </w:p>
    <w:p w:rsidR="002F2E7B" w:rsidRPr="00236091" w:rsidRDefault="002F2E7B" w:rsidP="00A06A73">
      <w:pPr>
        <w:pStyle w:val="a3"/>
        <w:ind w:left="-426" w:right="-142" w:firstLine="710"/>
        <w:jc w:val="center"/>
        <w:rPr>
          <w:rFonts w:ascii="Times New Roman" w:hAnsi="Times New Roman"/>
          <w:b/>
          <w:sz w:val="28"/>
          <w:szCs w:val="28"/>
        </w:rPr>
      </w:pPr>
      <w:r w:rsidRPr="00236091">
        <w:rPr>
          <w:rFonts w:ascii="Times New Roman" w:hAnsi="Times New Roman"/>
          <w:b/>
          <w:sz w:val="28"/>
          <w:szCs w:val="28"/>
        </w:rPr>
        <w:t xml:space="preserve"> «Особисті немайнові права в доктрині цивільного права»</w:t>
      </w:r>
    </w:p>
    <w:p w:rsidR="00236091" w:rsidRPr="00D974B5" w:rsidRDefault="00236091" w:rsidP="00A06A73">
      <w:pPr>
        <w:pStyle w:val="a3"/>
        <w:ind w:left="-426" w:right="-142" w:firstLine="710"/>
        <w:jc w:val="center"/>
        <w:rPr>
          <w:rFonts w:ascii="Times New Roman" w:hAnsi="Times New Roman"/>
          <w:b/>
          <w:sz w:val="28"/>
          <w:szCs w:val="28"/>
        </w:rPr>
      </w:pPr>
      <w:r w:rsidRPr="00D974B5">
        <w:rPr>
          <w:rFonts w:ascii="Times New Roman" w:hAnsi="Times New Roman"/>
          <w:b/>
          <w:sz w:val="28"/>
          <w:szCs w:val="28"/>
        </w:rPr>
        <w:t>для аспірантів спеціальності 081 Право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 w:rsidRPr="0004763B">
        <w:rPr>
          <w:rFonts w:ascii="Times New Roman" w:hAnsi="Times New Roman"/>
          <w:sz w:val="28"/>
          <w:szCs w:val="28"/>
        </w:rPr>
        <w:t>1. Проблема правової природи та галузевої належності особистих немайнових прав учасників приватних правовідносин.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 w:rsidRPr="0004763B">
        <w:rPr>
          <w:rFonts w:ascii="Times New Roman" w:hAnsi="Times New Roman"/>
          <w:sz w:val="28"/>
          <w:szCs w:val="28"/>
        </w:rPr>
        <w:t>2. Методологія дослідження особистих немайнових прав учасників приватних правовідносин.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 w:rsidRPr="0004763B">
        <w:rPr>
          <w:rFonts w:ascii="Times New Roman" w:hAnsi="Times New Roman"/>
          <w:sz w:val="28"/>
          <w:szCs w:val="28"/>
        </w:rPr>
        <w:t>3. Співвідношення категорій «особисте немайнове право» та «особистий немайновий інтерес» як форми реалізації дозволеної поведінки в приватно-правовій сфері.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 w:rsidRPr="0004763B">
        <w:rPr>
          <w:rFonts w:ascii="Times New Roman" w:hAnsi="Times New Roman"/>
          <w:sz w:val="28"/>
          <w:szCs w:val="28"/>
        </w:rPr>
        <w:t>4. Моністична та плюралістична концепції особистих немайнових прав фізичних осіб.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 w:rsidRPr="0004763B">
        <w:rPr>
          <w:rFonts w:ascii="Times New Roman" w:hAnsi="Times New Roman"/>
          <w:sz w:val="28"/>
          <w:szCs w:val="28"/>
        </w:rPr>
        <w:t>5. Поняття особистого немайнового права та його ознаки як суб’єктивного цивільного права в законодавстві та доктрині.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 w:rsidRPr="0004763B">
        <w:rPr>
          <w:rFonts w:ascii="Times New Roman" w:hAnsi="Times New Roman"/>
          <w:sz w:val="28"/>
          <w:szCs w:val="28"/>
        </w:rPr>
        <w:t>6. Індивідуалізація особистості як ознака особистих немайнових прав.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b/>
          <w:sz w:val="28"/>
          <w:szCs w:val="28"/>
        </w:rPr>
      </w:pPr>
      <w:r w:rsidRPr="0004763B">
        <w:rPr>
          <w:rFonts w:ascii="Times New Roman" w:hAnsi="Times New Roman"/>
          <w:sz w:val="28"/>
          <w:szCs w:val="28"/>
        </w:rPr>
        <w:t>7.</w:t>
      </w:r>
      <w:r w:rsidRPr="0004763B">
        <w:rPr>
          <w:rFonts w:ascii="Times New Roman" w:hAnsi="Times New Roman"/>
          <w:b/>
          <w:sz w:val="28"/>
          <w:szCs w:val="28"/>
        </w:rPr>
        <w:t xml:space="preserve"> </w:t>
      </w:r>
      <w:r w:rsidRPr="0004763B">
        <w:rPr>
          <w:rFonts w:ascii="Times New Roman" w:hAnsi="Times New Roman"/>
          <w:sz w:val="28"/>
          <w:szCs w:val="28"/>
        </w:rPr>
        <w:t>С</w:t>
      </w:r>
      <w:r w:rsidRPr="0004763B">
        <w:rPr>
          <w:rFonts w:ascii="Times New Roman" w:hAnsi="Times New Roman"/>
          <w:spacing w:val="-8"/>
          <w:sz w:val="28"/>
          <w:szCs w:val="28"/>
        </w:rPr>
        <w:t>пецифіка підстав виникнення та припинення особистих немайнових прав.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Style w:val="FontStyle33"/>
          <w:rFonts w:eastAsiaTheme="majorEastAsia"/>
          <w:b w:val="0"/>
          <w:sz w:val="28"/>
          <w:szCs w:val="28"/>
          <w:lang w:eastAsia="uk-UA"/>
        </w:rPr>
      </w:pPr>
      <w:r>
        <w:rPr>
          <w:rStyle w:val="FontStyle33"/>
          <w:rFonts w:eastAsiaTheme="majorEastAsia"/>
          <w:b w:val="0"/>
          <w:sz w:val="28"/>
          <w:szCs w:val="28"/>
          <w:lang w:eastAsia="uk-UA"/>
        </w:rPr>
        <w:t>8.</w:t>
      </w:r>
      <w:r w:rsidRPr="0004763B">
        <w:rPr>
          <w:rStyle w:val="FontStyle33"/>
          <w:rFonts w:eastAsiaTheme="majorEastAsia"/>
          <w:b w:val="0"/>
          <w:sz w:val="28"/>
          <w:szCs w:val="28"/>
          <w:lang w:eastAsia="uk-UA"/>
        </w:rPr>
        <w:t xml:space="preserve"> Зміст особистого немайнового права в цивільно-правовій доктрині.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Style w:val="FontStyle33"/>
          <w:rFonts w:eastAsiaTheme="majorEastAsia"/>
          <w:b w:val="0"/>
          <w:sz w:val="28"/>
          <w:szCs w:val="28"/>
          <w:lang w:eastAsia="uk-UA"/>
        </w:rPr>
      </w:pPr>
      <w:r>
        <w:rPr>
          <w:rStyle w:val="FontStyle33"/>
          <w:rFonts w:eastAsiaTheme="majorEastAsia"/>
          <w:b w:val="0"/>
          <w:sz w:val="28"/>
          <w:szCs w:val="28"/>
          <w:lang w:eastAsia="uk-UA"/>
        </w:rPr>
        <w:t>9</w:t>
      </w:r>
      <w:r w:rsidRPr="0004763B">
        <w:rPr>
          <w:rStyle w:val="FontStyle33"/>
          <w:rFonts w:eastAsiaTheme="majorEastAsia"/>
          <w:b w:val="0"/>
          <w:sz w:val="28"/>
          <w:szCs w:val="28"/>
          <w:lang w:eastAsia="uk-UA"/>
        </w:rPr>
        <w:t xml:space="preserve">. Особливості здійснення особистих немайнових прав.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Style w:val="FontStyle33"/>
          <w:rFonts w:eastAsiaTheme="majorEastAsia"/>
          <w:b w:val="0"/>
          <w:sz w:val="28"/>
          <w:szCs w:val="28"/>
          <w:lang w:eastAsia="uk-UA"/>
        </w:rPr>
        <w:t>10</w:t>
      </w:r>
      <w:r w:rsidRPr="0004763B">
        <w:rPr>
          <w:rStyle w:val="FontStyle33"/>
          <w:rFonts w:eastAsiaTheme="majorEastAsia"/>
          <w:b w:val="0"/>
          <w:sz w:val="28"/>
          <w:szCs w:val="28"/>
          <w:lang w:eastAsia="uk-UA"/>
        </w:rPr>
        <w:t>. Принципи здійснення особистих немайнових прав</w:t>
      </w:r>
      <w:r w:rsidRPr="0004763B">
        <w:rPr>
          <w:rStyle w:val="FontStyle33"/>
          <w:rFonts w:eastAsiaTheme="majorEastAsia"/>
          <w:sz w:val="28"/>
          <w:szCs w:val="28"/>
          <w:lang w:eastAsia="uk-UA"/>
        </w:rPr>
        <w:t xml:space="preserve"> (</w:t>
      </w:r>
      <w:r w:rsidRPr="0004763B">
        <w:rPr>
          <w:rFonts w:ascii="Times New Roman" w:hAnsi="Times New Roman"/>
          <w:spacing w:val="-8"/>
          <w:sz w:val="28"/>
          <w:szCs w:val="28"/>
        </w:rPr>
        <w:t xml:space="preserve">загально-правові (конституційні) принципи; загальні цивільно-правові принципи; спеціальні принципи здійснення).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Style w:val="FontStyle33"/>
          <w:rFonts w:eastAsiaTheme="majorEastAsia"/>
          <w:b w:val="0"/>
          <w:sz w:val="28"/>
          <w:szCs w:val="28"/>
          <w:lang w:eastAsia="uk-UA"/>
        </w:rPr>
      </w:pPr>
      <w:r>
        <w:rPr>
          <w:rStyle w:val="FontStyle33"/>
          <w:rFonts w:eastAsiaTheme="majorEastAsia"/>
          <w:b w:val="0"/>
          <w:sz w:val="28"/>
          <w:szCs w:val="28"/>
          <w:lang w:eastAsia="uk-UA"/>
        </w:rPr>
        <w:t>11</w:t>
      </w:r>
      <w:r w:rsidRPr="0004763B">
        <w:rPr>
          <w:rStyle w:val="FontStyle33"/>
          <w:rFonts w:eastAsiaTheme="majorEastAsia"/>
          <w:b w:val="0"/>
          <w:sz w:val="28"/>
          <w:szCs w:val="28"/>
          <w:lang w:eastAsia="uk-UA"/>
        </w:rPr>
        <w:t xml:space="preserve">. Забезпечення здійснення особистих немайнових прав.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Style w:val="FontStyle33"/>
          <w:rFonts w:eastAsiaTheme="majorEastAsia"/>
          <w:b w:val="0"/>
          <w:sz w:val="28"/>
          <w:szCs w:val="28"/>
          <w:lang w:eastAsia="uk-UA"/>
        </w:rPr>
      </w:pPr>
      <w:r>
        <w:rPr>
          <w:rStyle w:val="FontStyle33"/>
          <w:rFonts w:eastAsiaTheme="majorEastAsia"/>
          <w:b w:val="0"/>
          <w:sz w:val="28"/>
          <w:szCs w:val="28"/>
          <w:lang w:eastAsia="uk-UA"/>
        </w:rPr>
        <w:t>12</w:t>
      </w:r>
      <w:r w:rsidRPr="0004763B">
        <w:rPr>
          <w:rStyle w:val="FontStyle33"/>
          <w:rFonts w:eastAsiaTheme="majorEastAsia"/>
          <w:b w:val="0"/>
          <w:sz w:val="28"/>
          <w:szCs w:val="28"/>
          <w:lang w:eastAsia="uk-UA"/>
        </w:rPr>
        <w:t xml:space="preserve">. Гарантії здійснення особистих немайнових прав учасників приватних правовідносин.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Style w:val="FontStyle33"/>
          <w:rFonts w:eastAsiaTheme="majorEastAsia"/>
          <w:b w:val="0"/>
          <w:sz w:val="28"/>
          <w:szCs w:val="28"/>
          <w:lang w:eastAsia="uk-UA"/>
        </w:rPr>
      </w:pPr>
      <w:r>
        <w:rPr>
          <w:rStyle w:val="FontStyle33"/>
          <w:rFonts w:eastAsiaTheme="majorEastAsia"/>
          <w:b w:val="0"/>
          <w:sz w:val="28"/>
          <w:szCs w:val="28"/>
          <w:lang w:eastAsia="uk-UA"/>
        </w:rPr>
        <w:t>13</w:t>
      </w:r>
      <w:r w:rsidRPr="0004763B">
        <w:rPr>
          <w:rStyle w:val="FontStyle33"/>
          <w:rFonts w:eastAsiaTheme="majorEastAsia"/>
          <w:b w:val="0"/>
          <w:sz w:val="28"/>
          <w:szCs w:val="28"/>
          <w:lang w:eastAsia="uk-UA"/>
        </w:rPr>
        <w:t>. Обмеження особистих немайнових прав.</w:t>
      </w:r>
    </w:p>
    <w:p w:rsidR="002F2E7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 w:rsidRPr="0004763B">
        <w:rPr>
          <w:rStyle w:val="FontStyle33"/>
          <w:b w:val="0"/>
          <w:sz w:val="28"/>
          <w:szCs w:val="28"/>
          <w:lang w:eastAsia="uk-UA"/>
        </w:rPr>
        <w:t>1</w:t>
      </w:r>
      <w:r>
        <w:rPr>
          <w:rStyle w:val="FontStyle33"/>
          <w:b w:val="0"/>
          <w:sz w:val="28"/>
          <w:szCs w:val="28"/>
          <w:lang w:eastAsia="uk-UA"/>
        </w:rPr>
        <w:t>4</w:t>
      </w:r>
      <w:r w:rsidRPr="0004763B">
        <w:rPr>
          <w:rStyle w:val="FontStyle33"/>
          <w:b w:val="0"/>
          <w:sz w:val="28"/>
          <w:szCs w:val="28"/>
          <w:lang w:eastAsia="uk-UA"/>
        </w:rPr>
        <w:t xml:space="preserve">. </w:t>
      </w:r>
      <w:r w:rsidRPr="0004763B">
        <w:rPr>
          <w:rFonts w:ascii="Times New Roman" w:hAnsi="Times New Roman"/>
          <w:sz w:val="28"/>
          <w:szCs w:val="28"/>
        </w:rPr>
        <w:t xml:space="preserve">Доктринальні підходи цивільно-правового захисту особистих немайнових прав.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04763B">
        <w:rPr>
          <w:rFonts w:ascii="Times New Roman" w:hAnsi="Times New Roman"/>
          <w:sz w:val="28"/>
          <w:szCs w:val="28"/>
        </w:rPr>
        <w:t>П</w:t>
      </w:r>
      <w:r w:rsidRPr="0004763B">
        <w:rPr>
          <w:rFonts w:ascii="Times New Roman" w:hAnsi="Times New Roman"/>
          <w:spacing w:val="-8"/>
          <w:sz w:val="28"/>
          <w:szCs w:val="28"/>
        </w:rPr>
        <w:t xml:space="preserve">роблема правової природи захисту та визначення його місця в системі цивільно-правових категорій.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04763B">
        <w:rPr>
          <w:rFonts w:ascii="Times New Roman" w:hAnsi="Times New Roman"/>
          <w:sz w:val="28"/>
          <w:szCs w:val="28"/>
        </w:rPr>
        <w:t>. Форми та способи захисту особистих немайнових прав. Доктринальні п</w:t>
      </w:r>
      <w:r w:rsidRPr="0004763B">
        <w:rPr>
          <w:rFonts w:ascii="Times New Roman" w:hAnsi="Times New Roman"/>
          <w:spacing w:val="-8"/>
          <w:sz w:val="28"/>
          <w:szCs w:val="28"/>
        </w:rPr>
        <w:t>роблеми класифікації способів захисту суб’єктивних цивільних прав.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04763B">
        <w:rPr>
          <w:rFonts w:ascii="Times New Roman" w:hAnsi="Times New Roman"/>
          <w:sz w:val="28"/>
          <w:szCs w:val="28"/>
        </w:rPr>
        <w:t xml:space="preserve">. Система цивільно-правових способів захисту особистих немайнових прав.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04763B">
        <w:rPr>
          <w:rFonts w:ascii="Times New Roman" w:hAnsi="Times New Roman"/>
          <w:sz w:val="28"/>
          <w:szCs w:val="28"/>
        </w:rPr>
        <w:t xml:space="preserve">. </w:t>
      </w:r>
      <w:r w:rsidRPr="0004763B">
        <w:rPr>
          <w:rFonts w:ascii="Times New Roman" w:hAnsi="Times New Roman"/>
          <w:spacing w:val="-4"/>
          <w:sz w:val="28"/>
          <w:szCs w:val="28"/>
        </w:rPr>
        <w:t>Відновлювальні способи захисту особистих немайнових прав. Компенсаційні способи захисту особистих немайнових прав.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19</w:t>
      </w:r>
      <w:r w:rsidRPr="0004763B">
        <w:rPr>
          <w:rFonts w:ascii="Times New Roman" w:hAnsi="Times New Roman"/>
          <w:spacing w:val="-4"/>
          <w:sz w:val="28"/>
          <w:szCs w:val="28"/>
        </w:rPr>
        <w:t>. Особливості з</w:t>
      </w:r>
      <w:r w:rsidRPr="0004763B">
        <w:rPr>
          <w:rFonts w:ascii="Times New Roman" w:hAnsi="Times New Roman"/>
          <w:sz w:val="28"/>
          <w:szCs w:val="28"/>
        </w:rPr>
        <w:t xml:space="preserve">ахисту особистих немайнових прав Конституційним Судом України та Європейським судом з прав людини.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Style w:val="FontStyle33"/>
          <w:rFonts w:eastAsiaTheme="majorEastAsia"/>
          <w:b w:val="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20</w:t>
      </w:r>
      <w:r w:rsidRPr="0004763B">
        <w:rPr>
          <w:rFonts w:ascii="Times New Roman" w:hAnsi="Times New Roman"/>
          <w:sz w:val="28"/>
          <w:szCs w:val="28"/>
        </w:rPr>
        <w:t xml:space="preserve">. </w:t>
      </w:r>
      <w:r w:rsidRPr="000476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Правові наслідки невиконання рішення суду про захист особистого немайнового права.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Style w:val="FontStyle33"/>
          <w:rFonts w:eastAsiaTheme="majorEastAsia"/>
          <w:b w:val="0"/>
          <w:sz w:val="28"/>
          <w:szCs w:val="28"/>
          <w:lang w:eastAsia="uk-UA"/>
        </w:rPr>
      </w:pPr>
      <w:r>
        <w:rPr>
          <w:rStyle w:val="FontStyle33"/>
          <w:rFonts w:eastAsiaTheme="majorEastAsia"/>
          <w:b w:val="0"/>
          <w:sz w:val="28"/>
          <w:szCs w:val="28"/>
          <w:lang w:eastAsia="uk-UA"/>
        </w:rPr>
        <w:t>2</w:t>
      </w:r>
      <w:r w:rsidRPr="0004763B">
        <w:rPr>
          <w:rStyle w:val="FontStyle33"/>
          <w:rFonts w:eastAsiaTheme="majorEastAsia"/>
          <w:b w:val="0"/>
          <w:sz w:val="28"/>
          <w:szCs w:val="28"/>
          <w:lang w:eastAsia="uk-UA"/>
        </w:rPr>
        <w:t xml:space="preserve">1. Проблеми законодавчого закріплення та доктринальні підходи до системи особистих немайнових прав.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Style w:val="FontStyle33"/>
          <w:rFonts w:eastAsiaTheme="majorEastAsia"/>
          <w:b w:val="0"/>
          <w:sz w:val="28"/>
          <w:szCs w:val="28"/>
          <w:lang w:eastAsia="uk-UA"/>
        </w:rPr>
      </w:pPr>
      <w:r>
        <w:rPr>
          <w:rStyle w:val="FontStyle33"/>
          <w:rFonts w:eastAsiaTheme="majorEastAsia"/>
          <w:b w:val="0"/>
          <w:sz w:val="28"/>
          <w:szCs w:val="28"/>
          <w:lang w:eastAsia="uk-UA"/>
        </w:rPr>
        <w:t>2</w:t>
      </w:r>
      <w:r w:rsidRPr="0004763B">
        <w:rPr>
          <w:rStyle w:val="FontStyle33"/>
          <w:rFonts w:eastAsiaTheme="majorEastAsia"/>
          <w:b w:val="0"/>
          <w:sz w:val="28"/>
          <w:szCs w:val="28"/>
          <w:lang w:eastAsia="uk-UA"/>
        </w:rPr>
        <w:t xml:space="preserve">2. Взаємозв'язки елементів системи особистих немайнових прав.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Style w:val="FontStyle33"/>
          <w:rFonts w:eastAsiaTheme="majorEastAsia"/>
          <w:b w:val="0"/>
          <w:sz w:val="28"/>
          <w:szCs w:val="28"/>
          <w:lang w:eastAsia="uk-UA"/>
        </w:rPr>
      </w:pPr>
      <w:r>
        <w:rPr>
          <w:rStyle w:val="FontStyle33"/>
          <w:rFonts w:eastAsiaTheme="majorEastAsia"/>
          <w:b w:val="0"/>
          <w:sz w:val="28"/>
          <w:szCs w:val="28"/>
          <w:lang w:eastAsia="uk-UA"/>
        </w:rPr>
        <w:lastRenderedPageBreak/>
        <w:t>2</w:t>
      </w:r>
      <w:r w:rsidRPr="0004763B">
        <w:rPr>
          <w:rStyle w:val="FontStyle33"/>
          <w:rFonts w:eastAsiaTheme="majorEastAsia"/>
          <w:b w:val="0"/>
          <w:sz w:val="28"/>
          <w:szCs w:val="28"/>
          <w:lang w:eastAsia="uk-UA"/>
        </w:rPr>
        <w:t>3. Система особистих немайнових прав. Науково-теоретичні погляди щодо</w:t>
      </w:r>
      <w:r w:rsidRPr="0004763B">
        <w:rPr>
          <w:rFonts w:ascii="Times New Roman" w:hAnsi="Times New Roman"/>
          <w:sz w:val="28"/>
          <w:szCs w:val="28"/>
        </w:rPr>
        <w:t xml:space="preserve"> реформування сучасної системи особистих немайнових прав у цивільному праві.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Style w:val="FontStyle33"/>
          <w:rFonts w:eastAsiaTheme="majorEastAsia"/>
          <w:b w:val="0"/>
          <w:sz w:val="28"/>
          <w:szCs w:val="28"/>
          <w:lang w:eastAsia="uk-UA"/>
        </w:rPr>
      </w:pPr>
      <w:r>
        <w:rPr>
          <w:rStyle w:val="FontStyle33"/>
          <w:rFonts w:eastAsiaTheme="majorEastAsia"/>
          <w:b w:val="0"/>
          <w:sz w:val="28"/>
          <w:szCs w:val="28"/>
          <w:lang w:eastAsia="uk-UA"/>
        </w:rPr>
        <w:t>2</w:t>
      </w:r>
      <w:r w:rsidRPr="0004763B">
        <w:rPr>
          <w:rStyle w:val="FontStyle33"/>
          <w:rFonts w:eastAsiaTheme="majorEastAsia"/>
          <w:b w:val="0"/>
          <w:sz w:val="28"/>
          <w:szCs w:val="28"/>
          <w:lang w:eastAsia="uk-UA"/>
        </w:rPr>
        <w:t xml:space="preserve">4. Загальні (універсальні) особисті немайнові права.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Style w:val="FontStyle33"/>
          <w:rFonts w:eastAsiaTheme="majorEastAsia"/>
          <w:b w:val="0"/>
          <w:sz w:val="28"/>
          <w:szCs w:val="28"/>
          <w:lang w:eastAsia="uk-UA"/>
        </w:rPr>
      </w:pPr>
      <w:r>
        <w:rPr>
          <w:rStyle w:val="FontStyle33"/>
          <w:rFonts w:eastAsiaTheme="majorEastAsia"/>
          <w:b w:val="0"/>
          <w:sz w:val="28"/>
          <w:szCs w:val="28"/>
          <w:lang w:eastAsia="uk-UA"/>
        </w:rPr>
        <w:t>2</w:t>
      </w:r>
      <w:r w:rsidRPr="0004763B">
        <w:rPr>
          <w:rStyle w:val="FontStyle33"/>
          <w:rFonts w:eastAsiaTheme="majorEastAsia"/>
          <w:b w:val="0"/>
          <w:sz w:val="28"/>
          <w:szCs w:val="28"/>
          <w:lang w:eastAsia="uk-UA"/>
        </w:rPr>
        <w:t>5. Окремі (спеціальні) особисті немайнові права.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04763B">
        <w:rPr>
          <w:rFonts w:ascii="Times New Roman" w:hAnsi="Times New Roman"/>
          <w:sz w:val="28"/>
          <w:szCs w:val="28"/>
        </w:rPr>
        <w:t xml:space="preserve">. Особисті немайнові права, що забезпечують цілісність фізичної особи.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 w:rsidRPr="0004763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Pr="0004763B">
        <w:rPr>
          <w:rFonts w:ascii="Times New Roman" w:hAnsi="Times New Roman"/>
          <w:sz w:val="28"/>
          <w:szCs w:val="28"/>
        </w:rPr>
        <w:t xml:space="preserve">. Право на життя в доктрині цивільного права.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04763B">
        <w:rPr>
          <w:rFonts w:ascii="Times New Roman" w:hAnsi="Times New Roman"/>
          <w:sz w:val="28"/>
          <w:szCs w:val="28"/>
        </w:rPr>
        <w:t xml:space="preserve">. Доктринальні підходи до правової природи категорії «зміст права на життя» (захист життя та сприяння життю тощо).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04763B">
        <w:rPr>
          <w:rFonts w:ascii="Times New Roman" w:hAnsi="Times New Roman"/>
          <w:sz w:val="28"/>
          <w:szCs w:val="28"/>
        </w:rPr>
        <w:t>. Природний та соціальний аспекти змісту права на життя.</w:t>
      </w:r>
    </w:p>
    <w:p w:rsidR="002F2E7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04763B">
        <w:rPr>
          <w:rFonts w:ascii="Times New Roman" w:hAnsi="Times New Roman"/>
          <w:sz w:val="28"/>
          <w:szCs w:val="28"/>
        </w:rPr>
        <w:t xml:space="preserve">. Доктринальні підходи до визначення правової природи та змісту права на здоров'я.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Pr="0004763B">
        <w:rPr>
          <w:rFonts w:ascii="Times New Roman" w:hAnsi="Times New Roman"/>
          <w:sz w:val="28"/>
          <w:szCs w:val="28"/>
        </w:rPr>
        <w:t>Легітимна дефініція здоров'я: національний та міжнародний аспекти.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04763B">
        <w:rPr>
          <w:rFonts w:ascii="Times New Roman" w:hAnsi="Times New Roman"/>
          <w:sz w:val="28"/>
          <w:szCs w:val="28"/>
        </w:rPr>
        <w:t xml:space="preserve">. Право на усунення небезпеки, що загрожує життю та здоров'ю.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04763B">
        <w:rPr>
          <w:rFonts w:ascii="Times New Roman" w:hAnsi="Times New Roman"/>
          <w:sz w:val="28"/>
          <w:szCs w:val="28"/>
        </w:rPr>
        <w:t xml:space="preserve">. Особисті немайнові права, що забезпечують відтворюваність фізичних осіб (репродуктивні права).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Pr="0004763B">
        <w:rPr>
          <w:rFonts w:ascii="Times New Roman" w:hAnsi="Times New Roman"/>
          <w:sz w:val="28"/>
          <w:szCs w:val="28"/>
        </w:rPr>
        <w:t xml:space="preserve">. Особисті немайнові права, що забезпечують відособленість фізичних осіб (право на свободу природного існування, право на особисту недоторканість, право на особисту безпеку, право на особисту гідність).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Pr="0004763B">
        <w:rPr>
          <w:rFonts w:ascii="Times New Roman" w:hAnsi="Times New Roman"/>
          <w:sz w:val="28"/>
          <w:szCs w:val="28"/>
        </w:rPr>
        <w:t xml:space="preserve">. Особисті немайнові права, що забезпечують індивідуалізацію фізичних осіб у суспільстві.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Pr="0004763B">
        <w:rPr>
          <w:rFonts w:ascii="Times New Roman" w:hAnsi="Times New Roman"/>
          <w:sz w:val="28"/>
          <w:szCs w:val="28"/>
        </w:rPr>
        <w:t>. Право на ім'я. Повноваження на використання імені. Спеціальні способи використання імені.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 w:rsidRPr="0004763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7</w:t>
      </w:r>
      <w:r w:rsidRPr="0004763B">
        <w:rPr>
          <w:rFonts w:ascii="Times New Roman" w:hAnsi="Times New Roman"/>
          <w:sz w:val="28"/>
          <w:szCs w:val="28"/>
        </w:rPr>
        <w:t xml:space="preserve">. Право на повагу до гідності та честі.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</w:t>
      </w:r>
      <w:r w:rsidRPr="0004763B">
        <w:rPr>
          <w:rFonts w:ascii="Times New Roman" w:hAnsi="Times New Roman"/>
          <w:sz w:val="28"/>
          <w:szCs w:val="28"/>
        </w:rPr>
        <w:t>. Право на індивідуальність та його елементи.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04763B">
        <w:rPr>
          <w:rFonts w:ascii="Times New Roman" w:hAnsi="Times New Roman"/>
          <w:sz w:val="28"/>
          <w:szCs w:val="28"/>
        </w:rPr>
        <w:t xml:space="preserve">. Особисті немайнові права, що забезпечують свободу соціального буття фізичних осіб.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04763B">
        <w:rPr>
          <w:rFonts w:ascii="Times New Roman" w:hAnsi="Times New Roman"/>
          <w:sz w:val="28"/>
          <w:szCs w:val="28"/>
        </w:rPr>
        <w:t xml:space="preserve">. </w:t>
      </w:r>
      <w:r w:rsidRPr="0004763B">
        <w:rPr>
          <w:rFonts w:ascii="Times New Roman" w:hAnsi="Times New Roman"/>
          <w:bCs/>
          <w:sz w:val="28"/>
          <w:szCs w:val="28"/>
        </w:rPr>
        <w:t>Особисті немайнові права, що забезпечують особисту інформованість фізичних осіб.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4763B">
        <w:rPr>
          <w:rFonts w:ascii="Times New Roman" w:hAnsi="Times New Roman"/>
          <w:sz w:val="28"/>
          <w:szCs w:val="28"/>
        </w:rPr>
        <w:t>1. Особисті немайнові права фізичних осіб, що виникають у сфері інтелектуальної діяльності. Специфіка особистих немайнових прав, що виникають у сфері інтелектуальної власності.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4763B">
        <w:rPr>
          <w:rFonts w:ascii="Times New Roman" w:hAnsi="Times New Roman"/>
          <w:sz w:val="28"/>
          <w:szCs w:val="28"/>
        </w:rPr>
        <w:t xml:space="preserve">2. Особисті немайнові права фізичних осіб, що виникають у сфері сімейних відносин. Напрями </w:t>
      </w:r>
      <w:r w:rsidRPr="0004763B">
        <w:rPr>
          <w:rFonts w:ascii="Times New Roman" w:hAnsi="Times New Roman"/>
          <w:spacing w:val="-8"/>
          <w:sz w:val="28"/>
          <w:szCs w:val="28"/>
        </w:rPr>
        <w:t>удосконалення законодавства щодо особистих немайнових прав фізичних осіб у сфері сімейних відносин.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4763B">
        <w:rPr>
          <w:rFonts w:ascii="Times New Roman" w:hAnsi="Times New Roman"/>
          <w:sz w:val="28"/>
          <w:szCs w:val="28"/>
        </w:rPr>
        <w:t xml:space="preserve">3. Особисті немайнові права дітей та інших фізичних осіб, що мають вади в дієздатності.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4763B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04763B">
        <w:rPr>
          <w:rFonts w:ascii="Times New Roman" w:hAnsi="Times New Roman"/>
          <w:sz w:val="28"/>
          <w:szCs w:val="28"/>
        </w:rPr>
        <w:t>Посттанативні</w:t>
      </w:r>
      <w:proofErr w:type="spellEnd"/>
      <w:r w:rsidRPr="0004763B">
        <w:rPr>
          <w:rFonts w:ascii="Times New Roman" w:hAnsi="Times New Roman"/>
          <w:sz w:val="28"/>
          <w:szCs w:val="28"/>
        </w:rPr>
        <w:t xml:space="preserve"> особисті немайнові права фізичних осіб.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</w:t>
      </w:r>
      <w:r w:rsidRPr="0004763B">
        <w:rPr>
          <w:rFonts w:ascii="Times New Roman" w:hAnsi="Times New Roman"/>
          <w:sz w:val="28"/>
          <w:szCs w:val="28"/>
        </w:rPr>
        <w:t xml:space="preserve">. Методологія дослідження особистих немайнових прав юридичних осіб.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04763B">
        <w:rPr>
          <w:rFonts w:ascii="Times New Roman" w:hAnsi="Times New Roman"/>
          <w:sz w:val="28"/>
          <w:szCs w:val="28"/>
        </w:rPr>
        <w:t>. Генезис розвитку законодавства та правової доктрини особистих немайнових прав юридичних</w:t>
      </w:r>
      <w:bookmarkStart w:id="0" w:name="_GoBack"/>
      <w:bookmarkEnd w:id="0"/>
      <w:r w:rsidRPr="0004763B">
        <w:rPr>
          <w:rFonts w:ascii="Times New Roman" w:hAnsi="Times New Roman"/>
          <w:sz w:val="28"/>
          <w:szCs w:val="28"/>
        </w:rPr>
        <w:t xml:space="preserve"> осіб.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04763B">
        <w:rPr>
          <w:rFonts w:ascii="Times New Roman" w:hAnsi="Times New Roman"/>
          <w:sz w:val="28"/>
          <w:szCs w:val="28"/>
        </w:rPr>
        <w:t>. Поняття та ознаки особистих немайнових прав юридичних осіб.</w:t>
      </w:r>
    </w:p>
    <w:p w:rsidR="002F2E7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 w:rsidRPr="0004763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7</w:t>
      </w:r>
      <w:r w:rsidRPr="0004763B">
        <w:rPr>
          <w:rFonts w:ascii="Times New Roman" w:hAnsi="Times New Roman"/>
          <w:sz w:val="28"/>
          <w:szCs w:val="28"/>
        </w:rPr>
        <w:t xml:space="preserve">. Особисте немайнове право юридичної особи на найменування та місцезнаходження. 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</w:t>
      </w:r>
      <w:r w:rsidRPr="0004763B">
        <w:rPr>
          <w:rFonts w:ascii="Times New Roman" w:hAnsi="Times New Roman"/>
          <w:sz w:val="28"/>
          <w:szCs w:val="28"/>
        </w:rPr>
        <w:t>. Право на ділову репутацію юридичної особи.</w:t>
      </w:r>
    </w:p>
    <w:p w:rsidR="002F2E7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Pr="0004763B">
        <w:rPr>
          <w:rFonts w:ascii="Times New Roman" w:hAnsi="Times New Roman"/>
          <w:sz w:val="28"/>
          <w:szCs w:val="28"/>
        </w:rPr>
        <w:t>. Інформативні права юридичної особи.</w:t>
      </w:r>
    </w:p>
    <w:p w:rsidR="002F2E7B" w:rsidRPr="0004763B" w:rsidRDefault="002F2E7B" w:rsidP="00A06A73">
      <w:pPr>
        <w:pStyle w:val="a3"/>
        <w:ind w:left="-426" w:right="-142" w:firstLine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 Компенсація моральної шкоди за порушення особистих немайнових прав.</w:t>
      </w:r>
    </w:p>
    <w:sectPr w:rsidR="002F2E7B" w:rsidRPr="0004763B" w:rsidSect="00D00435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7B"/>
    <w:rsid w:val="00064C53"/>
    <w:rsid w:val="00236091"/>
    <w:rsid w:val="002F2E7B"/>
    <w:rsid w:val="00A0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rsid w:val="002F2E7B"/>
    <w:rPr>
      <w:rFonts w:ascii="Times New Roman" w:hAnsi="Times New Roman" w:cs="Times New Roman" w:hint="default"/>
      <w:b/>
      <w:bCs/>
      <w:sz w:val="16"/>
      <w:szCs w:val="16"/>
    </w:rPr>
  </w:style>
  <w:style w:type="paragraph" w:styleId="a3">
    <w:name w:val="No Spacing"/>
    <w:uiPriority w:val="1"/>
    <w:qFormat/>
    <w:rsid w:val="002F2E7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ndnote reference"/>
    <w:semiHidden/>
    <w:rsid w:val="002F2E7B"/>
    <w:rPr>
      <w:rFonts w:ascii="Times New Roman" w:hAnsi="Times New Roman"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rsid w:val="002F2E7B"/>
    <w:rPr>
      <w:rFonts w:ascii="Times New Roman" w:hAnsi="Times New Roman" w:cs="Times New Roman" w:hint="default"/>
      <w:b/>
      <w:bCs/>
      <w:sz w:val="16"/>
      <w:szCs w:val="16"/>
    </w:rPr>
  </w:style>
  <w:style w:type="paragraph" w:styleId="a3">
    <w:name w:val="No Spacing"/>
    <w:uiPriority w:val="1"/>
    <w:qFormat/>
    <w:rsid w:val="002F2E7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ndnote reference"/>
    <w:semiHidden/>
    <w:rsid w:val="002F2E7B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3085</Words>
  <Characters>1759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Гейнц</cp:lastModifiedBy>
  <cp:revision>3</cp:revision>
  <dcterms:created xsi:type="dcterms:W3CDTF">2016-04-14T06:08:00Z</dcterms:created>
  <dcterms:modified xsi:type="dcterms:W3CDTF">2018-09-29T20:46:00Z</dcterms:modified>
</cp:coreProperties>
</file>