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МІНІСТЕРСТВО ОСВІТИ І НАУКИ УКРАЇНИ ДВНЗ «ПРИКАРПАТСЬКИЙ НАЦІОНАЛЬНИЙ УНІВЕ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7C93">
        <w:rPr>
          <w:rFonts w:ascii="Times New Roman" w:hAnsi="Times New Roman" w:cs="Times New Roman"/>
          <w:sz w:val="28"/>
          <w:szCs w:val="28"/>
        </w:rPr>
        <w:t>СИТЕТ ІМЕНІ ВАСИЛЯ СТЕФАНИКА»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7C93">
        <w:rPr>
          <w:rFonts w:ascii="Times New Roman" w:hAnsi="Times New Roman" w:cs="Times New Roman"/>
          <w:sz w:val="28"/>
          <w:szCs w:val="28"/>
        </w:rPr>
        <w:t>едагогічний</w:t>
      </w:r>
      <w:r w:rsidRPr="007E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57C93">
        <w:rPr>
          <w:rFonts w:ascii="Times New Roman" w:hAnsi="Times New Roman" w:cs="Times New Roman"/>
          <w:sz w:val="28"/>
          <w:szCs w:val="28"/>
        </w:rPr>
        <w:t>акультет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C169A7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6DF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C169A7" w:rsidRPr="00C169A7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9A7">
        <w:rPr>
          <w:rFonts w:ascii="Times New Roman" w:hAnsi="Times New Roman" w:cs="Times New Roman"/>
          <w:b/>
          <w:sz w:val="28"/>
          <w:szCs w:val="28"/>
        </w:rPr>
        <w:t>ЦІННІСНИЙ ПОТЕНЦІАЛ УКРАЇНСЬКОЇ ЕТНОПЕДАГОГІКИ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Освітня програма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«Дошкільна освіта»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Спеціальність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012 Дошкільна освіта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 Освіта / Педагогіка</w:t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Протокол № 1 від “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E57C93">
        <w:rPr>
          <w:rFonts w:ascii="Times New Roman" w:hAnsi="Times New Roman" w:cs="Times New Roman"/>
          <w:sz w:val="28"/>
          <w:szCs w:val="28"/>
        </w:rPr>
        <w:t>” серпня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57C9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м. Івано-Франківськ –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p w:rsidR="00C169A7" w:rsidRPr="00E57C93" w:rsidRDefault="00C169A7" w:rsidP="00C16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C169A7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C169A7" w:rsidRPr="00E57C93" w:rsidRDefault="00C169A7" w:rsidP="00C169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169A7" w:rsidRPr="00E57C93" w:rsidRDefault="00C169A7" w:rsidP="00C169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643"/>
        <w:gridCol w:w="701"/>
        <w:gridCol w:w="965"/>
        <w:gridCol w:w="530"/>
        <w:gridCol w:w="530"/>
        <w:gridCol w:w="399"/>
        <w:gridCol w:w="384"/>
        <w:gridCol w:w="694"/>
        <w:gridCol w:w="975"/>
        <w:gridCol w:w="796"/>
        <w:gridCol w:w="1007"/>
        <w:gridCol w:w="1378"/>
      </w:tblGrid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Етнопедагогіка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) рівень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Викладач (і)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Лисенко Олександра Миколаївна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Oleksandra</w:t>
            </w:r>
            <w:r w:rsidRPr="00E96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senko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Очна/заочна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3 кредити ЄКТС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C169A7" w:rsidRPr="00EF18C6" w:rsidTr="00B52D92">
        <w:tc>
          <w:tcPr>
            <w:tcW w:w="5152" w:type="dxa"/>
            <w:gridSpan w:val="7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4850" w:type="dxa"/>
            <w:gridSpan w:val="5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Очні консультації: згідно розкладу консультацій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 до курсу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Інтеркультурне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різноманіття України розглядається позитивним фактором забезпечення духовного багатства народу. Поява нових суверенних держав на пострадянському просторі стало потужним фактором різкого посилення інтересу громадян цих країн до історії, мови, культури, традицій і звичаїв своїх народів. За межами сфери цих інтересів не могла залишитися </w:t>
            </w:r>
            <w:proofErr w:type="spellStart"/>
            <w:r w:rsidRPr="00E96057">
              <w:rPr>
                <w:rFonts w:ascii="Times New Roman" w:hAnsi="Times New Roman" w:cs="Times New Roman"/>
                <w:sz w:val="24"/>
              </w:rPr>
              <w:t>етнопедагогіка</w:t>
            </w:r>
            <w:proofErr w:type="spellEnd"/>
            <w:r w:rsidRPr="00E96057">
              <w:rPr>
                <w:rFonts w:ascii="Times New Roman" w:hAnsi="Times New Roman" w:cs="Times New Roman"/>
                <w:sz w:val="24"/>
              </w:rPr>
              <w:t xml:space="preserve"> як невід'ємний компонент культури, виробленої багатьма поколіннями предків. Етнопедагогіка як теорія народної педагогіки - це область сучасної педагогічної науки, що має міждисциплінарний характер, утворена на стику різних гуманітарних наук.</w:t>
            </w:r>
          </w:p>
        </w:tc>
      </w:tr>
      <w:tr w:rsidR="00C169A7" w:rsidRPr="00EF18C6" w:rsidTr="00B52D92">
        <w:trPr>
          <w:trHeight w:val="330"/>
        </w:trPr>
        <w:tc>
          <w:tcPr>
            <w:tcW w:w="10002" w:type="dxa"/>
            <w:gridSpan w:val="12"/>
          </w:tcPr>
          <w:p w:rsidR="00C169A7" w:rsidRPr="00E96057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Мета та цілі курсу</w:t>
            </w:r>
          </w:p>
          <w:p w:rsidR="00C169A7" w:rsidRDefault="00C169A7" w:rsidP="00B52D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t xml:space="preserve">“Ціннісний потенціал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C169A7">
              <w:rPr>
                <w:rFonts w:ascii="Times New Roman" w:hAnsi="Times New Roman" w:cs="Times New Roman"/>
                <w:sz w:val="24"/>
              </w:rPr>
              <w:t xml:space="preserve"> дитинства” ознайомити студентів з історичними процесами розвитку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C169A7">
              <w:rPr>
                <w:rFonts w:ascii="Times New Roman" w:hAnsi="Times New Roman" w:cs="Times New Roman"/>
                <w:sz w:val="24"/>
              </w:rPr>
              <w:t xml:space="preserve">, утім, й української та її ціннісно-виховним потенціалом у системі чинників всебічного розвитку особистості. </w:t>
            </w:r>
          </w:p>
          <w:p w:rsidR="00C169A7" w:rsidRDefault="00C169A7" w:rsidP="00B52D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t xml:space="preserve">Завдання практикуму: </w:t>
            </w:r>
          </w:p>
          <w:p w:rsidR="00C169A7" w:rsidRDefault="00C169A7" w:rsidP="00B52D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t xml:space="preserve">– вивчення онтологічних та світоглядних основ системи етнічного виховання; </w:t>
            </w:r>
          </w:p>
          <w:p w:rsidR="00C169A7" w:rsidRDefault="00C169A7" w:rsidP="00B52D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t xml:space="preserve">– визначення загальнолюдських і етнічно особливих чинників суспільного впливу, що обумовлюють виховання й розвиток особистості; </w:t>
            </w:r>
          </w:p>
          <w:p w:rsidR="00C169A7" w:rsidRPr="00C169A7" w:rsidRDefault="00C169A7" w:rsidP="00B52D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t xml:space="preserve">– узагальнення педагогічного потенціалу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етнокультури</w:t>
            </w:r>
            <w:proofErr w:type="spellEnd"/>
            <w:r w:rsidRPr="00C169A7">
              <w:rPr>
                <w:rFonts w:ascii="Times New Roman" w:hAnsi="Times New Roman" w:cs="Times New Roman"/>
                <w:sz w:val="24"/>
              </w:rPr>
              <w:t xml:space="preserve"> задля його актуалізації в системі чинників сучасної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освітньо-виховної</w:t>
            </w:r>
            <w:proofErr w:type="spellEnd"/>
            <w:r w:rsidRPr="00C169A7">
              <w:rPr>
                <w:rFonts w:ascii="Times New Roman" w:hAnsi="Times New Roman" w:cs="Times New Roman"/>
                <w:sz w:val="24"/>
              </w:rPr>
              <w:t xml:space="preserve"> роботи в ДНЗ.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437039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i/>
                <w:sz w:val="24"/>
                <w:szCs w:val="24"/>
              </w:rPr>
              <w:t>Загальні компетентності</w:t>
            </w:r>
          </w:p>
          <w:p w:rsidR="00C169A7" w:rsidRPr="00437039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КЗ-1. Здатність діяти соціально відповідально та свідомо.</w:t>
            </w:r>
          </w:p>
          <w:p w:rsidR="00C169A7" w:rsidRPr="00437039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КЗ-2. Здатність генерувати нові ідеї (креативність).</w:t>
            </w:r>
          </w:p>
          <w:p w:rsidR="00C169A7" w:rsidRPr="00437039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КЗ-4. Здатність до абстрактного мислення, аналізу та синтезу.</w:t>
            </w:r>
          </w:p>
          <w:p w:rsidR="00C169A7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КЗ-5. Здатність працювати в команді.</w:t>
            </w:r>
          </w:p>
          <w:p w:rsidR="00C169A7" w:rsidRPr="00437039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КЗ-7. Здатність виявляти, ставити й вирішувати проблеми.</w:t>
            </w:r>
          </w:p>
          <w:p w:rsidR="00C169A7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КЗ-8. Здатність до пошуку, оброблення та аналізу інформації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різних джерел.</w:t>
            </w:r>
          </w:p>
          <w:p w:rsidR="00C169A7" w:rsidRPr="003A30BD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i/>
                <w:sz w:val="24"/>
                <w:szCs w:val="24"/>
              </w:rPr>
              <w:t>Спеціальні (фахові, предметні) компетентності</w:t>
            </w:r>
          </w:p>
          <w:p w:rsidR="00C169A7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КС-1. Здатність організовувати освітній процес у закладах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дошкільної освіти з використанням сучасних засобів, методів,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прийомів, технологій.</w:t>
            </w:r>
          </w:p>
          <w:p w:rsidR="00C169A7" w:rsidRPr="00D57F4F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КС-4. Готовність до організації фінансово-господарської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діяльності закладів дошкільної освіти.</w:t>
            </w:r>
          </w:p>
          <w:p w:rsidR="00C169A7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КС-5. Здатність створювати та впроваджувати в практику наукові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розробки, спрямовані на підвищення якості освітньої діяльності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середовища в системі дошкільної,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інклюзивної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9A7" w:rsidRPr="003A30BD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КС-8. Здатність здійснювати нормативно-правове 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діяльності закладу дошкільної освіти, керуючись законодавчими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документами та основами професійної етики.</w:t>
            </w:r>
          </w:p>
          <w:p w:rsidR="00C169A7" w:rsidRPr="003A30BD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КС-9. Здатність до самоосвіти, самовдосконалення, самореалізації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в професійній діяльності та до конкурентної спроможності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ринку праці.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 навчання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Default="00C169A7" w:rsidP="00B52D92">
            <w:pPr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5.1. Критично осмислювати концептуальні засади, цілі, завдання, принципи функціонування дошкільної освіти в Україні. </w:t>
            </w:r>
          </w:p>
          <w:p w:rsidR="00C169A7" w:rsidRPr="002C0D8F" w:rsidRDefault="00C169A7" w:rsidP="00B52D92">
            <w:pPr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5.2. Впроваджувати інформаційні та комунікаційні технології, генерувати нові ідеї в організацію освітнього процесу закладів дошкільної освіти різного типу.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Встановлювати взаємодію з різними соціальними інституціями, категоріями фахівців та батьками з метою забезпечення якості дошкільної освіти, реалізації дослідницьких та інноваційних проекті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Аналізувати й порівнювати результати педагогічного впливу на індивідуальний розвиток дитини дошкільного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віку в різних видах діяльності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та здатності до взаємодії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Здійснювати психолого-педагогічне керівництво індивідуальним розвитком особистості дитини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Знати і вико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ристовувати в практичній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діяльності законодавчу базу дошкільної освіти</w:t>
            </w:r>
          </w:p>
          <w:p w:rsidR="00C169A7" w:rsidRDefault="00C169A7" w:rsidP="00C169A7">
            <w:pPr>
              <w:pStyle w:val="a3"/>
              <w:numPr>
                <w:ilvl w:val="1"/>
                <w:numId w:val="2"/>
              </w:numPr>
              <w:tabs>
                <w:tab w:val="left" w:pos="600"/>
                <w:tab w:val="left" w:pos="89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99D">
              <w:rPr>
                <w:rFonts w:ascii="Times New Roman" w:hAnsi="Times New Roman" w:cs="Times New Roman"/>
                <w:sz w:val="24"/>
                <w:szCs w:val="24"/>
              </w:rPr>
              <w:t>Застосовувати в професійній діяльності сучасні дидактичні та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чні засади викладання психолого</w:t>
            </w:r>
            <w:r w:rsidRPr="0014099D">
              <w:rPr>
                <w:rFonts w:ascii="Times New Roman" w:hAnsi="Times New Roman" w:cs="Times New Roman"/>
                <w:sz w:val="24"/>
                <w:szCs w:val="24"/>
              </w:rPr>
              <w:t>-педагогічних дисциплін і обирати відповідні технології та методики.</w:t>
            </w:r>
          </w:p>
          <w:p w:rsidR="00C169A7" w:rsidRPr="002C0D8F" w:rsidRDefault="00C169A7" w:rsidP="00B52D92">
            <w:pPr>
              <w:pStyle w:val="a3"/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5.10.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уміннями й навичками аналізу, прогнозування, планування, організації освітнього процесу в закладі дошкільної освіти з урахуванням принципів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дитиноцентризму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здоров’язбереження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, інклюзії, розвивального навчання,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особистісно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-орієнтованого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 підходу, суб’єкт - суб’єктної взаємодії</w:t>
            </w:r>
          </w:p>
          <w:p w:rsidR="00C169A7" w:rsidRPr="002C0D8F" w:rsidRDefault="00C169A7" w:rsidP="00B52D92">
            <w:pPr>
              <w:pStyle w:val="a3"/>
              <w:tabs>
                <w:tab w:val="left" w:pos="600"/>
                <w:tab w:val="left" w:pos="891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5.13.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Визначати проблему та понятійний апарат дослідження в сфері дошкільної освіти, збирати та аналізувати необхідну інформацію з різних джерел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навчання курсу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EF18C6" w:rsidRDefault="00C169A7" w:rsidP="00B5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Обсяг курсу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169A7" w:rsidRPr="00EF18C6" w:rsidTr="00B52D92">
        <w:tc>
          <w:tcPr>
            <w:tcW w:w="4768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234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C169A7" w:rsidRPr="00EF18C6" w:rsidTr="00B52D92">
        <w:tc>
          <w:tcPr>
            <w:tcW w:w="4768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234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</w:tc>
      </w:tr>
      <w:tr w:rsidR="00C169A7" w:rsidRPr="00EF18C6" w:rsidTr="00B52D92">
        <w:tc>
          <w:tcPr>
            <w:tcW w:w="4768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234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</w:t>
            </w:r>
          </w:p>
        </w:tc>
      </w:tr>
      <w:tr w:rsidR="00C169A7" w:rsidRPr="00EF18C6" w:rsidTr="00B52D92">
        <w:tc>
          <w:tcPr>
            <w:tcW w:w="4768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234" w:type="dxa"/>
            <w:gridSpan w:val="6"/>
          </w:tcPr>
          <w:p w:rsidR="00C169A7" w:rsidRPr="00EF18C6" w:rsidRDefault="00C169A7" w:rsidP="00B52D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C169A7" w:rsidRPr="00EF18C6" w:rsidTr="00B52D92">
        <w:tc>
          <w:tcPr>
            <w:tcW w:w="1643" w:type="dxa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26" w:type="dxa"/>
            <w:gridSpan w:val="4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2" w:type="dxa"/>
            <w:gridSpan w:val="4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курс (рік навчання)</w:t>
            </w:r>
          </w:p>
        </w:tc>
        <w:tc>
          <w:tcPr>
            <w:tcW w:w="3181" w:type="dxa"/>
            <w:gridSpan w:val="3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Обов’язковий/вибірковий </w:t>
            </w:r>
          </w:p>
        </w:tc>
      </w:tr>
      <w:tr w:rsidR="00C169A7" w:rsidRPr="00EF18C6" w:rsidTr="00B52D92">
        <w:tc>
          <w:tcPr>
            <w:tcW w:w="1643" w:type="dxa"/>
          </w:tcPr>
          <w:p w:rsidR="00C169A7" w:rsidRPr="005A7205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IV</w:t>
            </w:r>
          </w:p>
        </w:tc>
        <w:tc>
          <w:tcPr>
            <w:tcW w:w="2726" w:type="dxa"/>
            <w:gridSpan w:val="4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012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2452" w:type="dxa"/>
            <w:gridSpan w:val="4"/>
          </w:tcPr>
          <w:p w:rsidR="00C169A7" w:rsidRPr="005A7205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другий</w:t>
            </w:r>
            <w:proofErr w:type="spellEnd"/>
          </w:p>
        </w:tc>
        <w:tc>
          <w:tcPr>
            <w:tcW w:w="3181" w:type="dxa"/>
            <w:gridSpan w:val="3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EF18C6" w:rsidRDefault="00C169A7" w:rsidP="00B52D92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2007" w:type="dxa"/>
            <w:gridSpan w:val="4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Завдання, 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378" w:type="dxa"/>
          </w:tcPr>
          <w:p w:rsidR="00C169A7" w:rsidRPr="00EF18C6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C169A7" w:rsidRPr="003C08FB" w:rsidTr="00B52D92">
        <w:tc>
          <w:tcPr>
            <w:tcW w:w="10002" w:type="dxa"/>
            <w:gridSpan w:val="12"/>
          </w:tcPr>
          <w:p w:rsidR="00C169A7" w:rsidRPr="003C08FB" w:rsidRDefault="00C169A7" w:rsidP="00C169A7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1. 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C169A7" w:rsidRDefault="00C169A7" w:rsidP="00B52D92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6057">
              <w:rPr>
                <w:rFonts w:ascii="Times New Roman" w:hAnsi="Times New Roman" w:cs="Times New Roman"/>
                <w:b/>
                <w:sz w:val="24"/>
              </w:rPr>
              <w:t>Тема 1</w:t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169A7" w:rsidRPr="00C169A7" w:rsidRDefault="00C169A7" w:rsidP="00B52D92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9A7">
              <w:rPr>
                <w:rFonts w:ascii="Times New Roman" w:hAnsi="Times New Roman" w:cs="Times New Roman"/>
                <w:sz w:val="24"/>
              </w:rPr>
              <w:lastRenderedPageBreak/>
              <w:t>Етнопедагогіка в системі педагогічних наук</w:t>
            </w:r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Лекція,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2007" w:type="dxa"/>
            <w:gridSpan w:val="4"/>
          </w:tcPr>
          <w:p w:rsidR="00C169A7" w:rsidRPr="00E96057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lastRenderedPageBreak/>
              <w:t>[3,7,9,17]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лекційний матеріал, 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E96057" w:rsidRDefault="00C169A7" w:rsidP="00C169A7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057">
              <w:rPr>
                <w:rFonts w:ascii="Times New Roman" w:hAnsi="Times New Roman" w:cs="Times New Roman"/>
                <w:b/>
                <w:sz w:val="24"/>
              </w:rPr>
              <w:lastRenderedPageBreak/>
              <w:t>Тема 2.</w:t>
            </w:r>
            <w:r w:rsidRPr="00E960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69A7">
              <w:rPr>
                <w:rFonts w:ascii="Times New Roman" w:hAnsi="Times New Roman" w:cs="Times New Roman"/>
                <w:sz w:val="24"/>
              </w:rPr>
              <w:t xml:space="preserve">Історія розвитку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169A7" w:rsidRPr="00E96057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57">
              <w:rPr>
                <w:rFonts w:ascii="Times New Roman" w:hAnsi="Times New Roman" w:cs="Times New Roman"/>
                <w:sz w:val="24"/>
              </w:rPr>
              <w:t>[8,11,12,13]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Опрацювати лекційний матеріал, підготуватися до практичного заняття, підготувати презентації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C52D1F" w:rsidRDefault="00C169A7" w:rsidP="00C169A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Тема 3.</w:t>
            </w:r>
            <w:r w:rsidRPr="00C169A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169A7">
              <w:rPr>
                <w:rFonts w:ascii="Times New Roman" w:hAnsi="Times New Roman" w:cs="Times New Roman"/>
                <w:sz w:val="24"/>
              </w:rPr>
              <w:t xml:space="preserve">Виховний ідеал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169A7" w:rsidRPr="00C169A7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[1,4, 14,16,20]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підготуватися до практичного заняття, 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C9243A" w:rsidRDefault="00C169A7" w:rsidP="00C169A7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r>
              <w:t>.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C52D1F" w:rsidRDefault="00C169A7" w:rsidP="00C169A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D1F">
              <w:rPr>
                <w:rFonts w:ascii="Times New Roman" w:hAnsi="Times New Roman" w:cs="Times New Roman"/>
                <w:b/>
                <w:sz w:val="24"/>
              </w:rPr>
              <w:t>Тема 4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C169A7">
              <w:rPr>
                <w:rFonts w:ascii="Times New Roman" w:hAnsi="Times New Roman" w:cs="Times New Roman"/>
                <w:sz w:val="24"/>
              </w:rPr>
              <w:t>Традиції та звичаї – основа виховної системи етносу</w:t>
            </w:r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169A7" w:rsidRPr="00C52D1F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[7,9,14,15]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лекційний матеріал, підготуватися до практичного заняття, підготувати презентації, 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Default="00C169A7" w:rsidP="00B52D92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C169A7" w:rsidRPr="00EF18C6" w:rsidTr="00B52D92">
        <w:tc>
          <w:tcPr>
            <w:tcW w:w="2344" w:type="dxa"/>
            <w:gridSpan w:val="2"/>
          </w:tcPr>
          <w:p w:rsidR="00C169A7" w:rsidRPr="00C52D1F" w:rsidRDefault="00C169A7" w:rsidP="00C169A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t>Тема 5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. </w:t>
            </w:r>
            <w:proofErr w:type="spellStart"/>
            <w:r w:rsidRPr="00C169A7">
              <w:rPr>
                <w:rFonts w:ascii="Times New Roman" w:hAnsi="Times New Roman" w:cs="Times New Roman"/>
                <w:sz w:val="24"/>
              </w:rPr>
              <w:t>Етнопедагогічна</w:t>
            </w:r>
            <w:proofErr w:type="spellEnd"/>
            <w:r w:rsidRPr="00C169A7">
              <w:rPr>
                <w:rFonts w:ascii="Times New Roman" w:hAnsi="Times New Roman" w:cs="Times New Roman"/>
                <w:sz w:val="24"/>
              </w:rPr>
              <w:t xml:space="preserve"> сутність визначальних чинників формування особистості</w:t>
            </w:r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</w:p>
        </w:tc>
        <w:tc>
          <w:tcPr>
            <w:tcW w:w="2007" w:type="dxa"/>
            <w:gridSpan w:val="4"/>
          </w:tcPr>
          <w:p w:rsidR="00C169A7" w:rsidRPr="00C52D1F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D1F">
              <w:rPr>
                <w:rFonts w:ascii="Times New Roman" w:hAnsi="Times New Roman" w:cs="Times New Roman"/>
                <w:sz w:val="24"/>
              </w:rPr>
              <w:t>[7,9,14,15]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ідготуватися до практичного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елементами тренінгу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, підготувати індивідуальні завдання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Default="00C169A7" w:rsidP="00B52D92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C169A7" w:rsidRPr="00EF18C6" w:rsidTr="00B52D92">
        <w:trPr>
          <w:trHeight w:val="2628"/>
        </w:trPr>
        <w:tc>
          <w:tcPr>
            <w:tcW w:w="2344" w:type="dxa"/>
            <w:gridSpan w:val="2"/>
          </w:tcPr>
          <w:p w:rsidR="00C169A7" w:rsidRPr="00C52D1F" w:rsidRDefault="00C169A7" w:rsidP="00C169A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D1F">
              <w:rPr>
                <w:rFonts w:ascii="Times New Roman" w:hAnsi="Times New Roman" w:cs="Times New Roman"/>
                <w:b/>
                <w:sz w:val="24"/>
              </w:rPr>
              <w:lastRenderedPageBreak/>
              <w:t>Тема 6.</w:t>
            </w:r>
            <w:r w:rsidRPr="00C52D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69A7">
              <w:rPr>
                <w:rFonts w:ascii="Times New Roman" w:hAnsi="Times New Roman" w:cs="Times New Roman"/>
                <w:sz w:val="24"/>
              </w:rPr>
              <w:t>Характеристика засобів народного виховання</w:t>
            </w:r>
          </w:p>
        </w:tc>
        <w:tc>
          <w:tcPr>
            <w:tcW w:w="1495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2007" w:type="dxa"/>
            <w:gridSpan w:val="4"/>
          </w:tcPr>
          <w:p w:rsidR="00C169A7" w:rsidRPr="00C52D1F" w:rsidRDefault="00C169A7" w:rsidP="00B52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[6,9,10,12,14,</w:t>
            </w:r>
            <w:r w:rsidRPr="00C52D1F">
              <w:rPr>
                <w:rFonts w:ascii="Times New Roman" w:hAnsi="Times New Roman" w:cs="Times New Roman"/>
                <w:sz w:val="24"/>
              </w:rPr>
              <w:t>]</w:t>
            </w:r>
          </w:p>
        </w:tc>
        <w:tc>
          <w:tcPr>
            <w:tcW w:w="1771" w:type="dxa"/>
            <w:gridSpan w:val="2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Опрацювати лекційний матеріал, підготуватися до практичного заняття, підготувати індивідуальні завдання</w:t>
            </w:r>
          </w:p>
        </w:tc>
        <w:tc>
          <w:tcPr>
            <w:tcW w:w="1007" w:type="dxa"/>
          </w:tcPr>
          <w:p w:rsidR="00C169A7" w:rsidRPr="00EF18C6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78" w:type="dxa"/>
          </w:tcPr>
          <w:p w:rsidR="00C169A7" w:rsidRDefault="00C169A7" w:rsidP="00B52D92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курсу</w:t>
            </w:r>
          </w:p>
        </w:tc>
      </w:tr>
      <w:tr w:rsidR="00C169A7" w:rsidRPr="00EF18C6" w:rsidTr="00B52D92">
        <w:tc>
          <w:tcPr>
            <w:tcW w:w="3309" w:type="dxa"/>
            <w:gridSpan w:val="3"/>
          </w:tcPr>
          <w:p w:rsidR="00C169A7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93" w:type="dxa"/>
            <w:gridSpan w:val="9"/>
          </w:tcPr>
          <w:p w:rsidR="00C169A7" w:rsidRDefault="00C169A7" w:rsidP="00B52D92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C169A7" w:rsidRPr="00437039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Вид контролю – екзамен</w:t>
            </w:r>
          </w:p>
          <w:p w:rsidR="00C169A7" w:rsidRPr="00437039" w:rsidRDefault="00C169A7" w:rsidP="00B52D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100 балів (практичні заняття – 5х9=45 балів, контроль самостійної роботи – 5 балів, екзамен – 50 балів). </w:t>
            </w:r>
          </w:p>
          <w:p w:rsidR="00C169A7" w:rsidRDefault="00C169A7" w:rsidP="00B52D92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Враховуються результати неформальної освіти – сертифіковані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онлайн-курси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 на освітніх платформах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Сoursera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Рrometheus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ЕdEra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(положення ПНУ про неформальну освіту).</w:t>
            </w:r>
          </w:p>
        </w:tc>
      </w:tr>
      <w:tr w:rsidR="00C169A7" w:rsidRPr="00EF18C6" w:rsidTr="00B52D92">
        <w:tc>
          <w:tcPr>
            <w:tcW w:w="3309" w:type="dxa"/>
            <w:gridSpan w:val="3"/>
          </w:tcPr>
          <w:p w:rsidR="00C169A7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6693" w:type="dxa"/>
            <w:gridSpan w:val="9"/>
          </w:tcPr>
          <w:p w:rsidR="00C169A7" w:rsidRDefault="00C169A7" w:rsidP="00B52D92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Самостійне виконання, власний аналіз та міркування</w:t>
            </w:r>
          </w:p>
        </w:tc>
      </w:tr>
      <w:tr w:rsidR="00C169A7" w:rsidRPr="00EF18C6" w:rsidTr="00B52D92">
        <w:tc>
          <w:tcPr>
            <w:tcW w:w="3309" w:type="dxa"/>
            <w:gridSpan w:val="3"/>
          </w:tcPr>
          <w:p w:rsidR="00C169A7" w:rsidRDefault="00C169A7" w:rsidP="00B52D92">
            <w:pPr>
              <w:pStyle w:val="a3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693" w:type="dxa"/>
            <w:gridSpan w:val="9"/>
          </w:tcPr>
          <w:p w:rsidR="00C169A7" w:rsidRDefault="00C169A7" w:rsidP="00B52D92">
            <w:pPr>
              <w:pStyle w:val="a3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45 балів </w:t>
            </w:r>
          </w:p>
        </w:tc>
      </w:tr>
      <w:tr w:rsidR="00C169A7" w:rsidRPr="00EF18C6" w:rsidTr="00B52D92">
        <w:tc>
          <w:tcPr>
            <w:tcW w:w="3309" w:type="dxa"/>
            <w:gridSpan w:val="3"/>
          </w:tcPr>
          <w:p w:rsidR="00C169A7" w:rsidRDefault="00C169A7" w:rsidP="00B52D92">
            <w:pPr>
              <w:pStyle w:val="a3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93" w:type="dxa"/>
            <w:gridSpan w:val="9"/>
          </w:tcPr>
          <w:p w:rsidR="00C169A7" w:rsidRDefault="00C169A7" w:rsidP="00B52D92">
            <w:pPr>
              <w:pStyle w:val="a3"/>
              <w:ind w:hanging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871FE6">
              <w:rPr>
                <w:rFonts w:ascii="Times New Roman" w:hAnsi="Times New Roman" w:cs="Times New Roman"/>
                <w:sz w:val="24"/>
                <w:szCs w:val="24"/>
              </w:rPr>
              <w:t>Виконання 50% завдань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курсу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Дотримання політики доброчесності.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Лекційні заняття не відпрацьовуються, знання лекційного матеріалу є обов’язковим.</w:t>
            </w:r>
          </w:p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Пропущені практичні заняття студент відпрацьовує, індивідуально виконуючи передбачену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плані роботу. Для цього використовуються:</w:t>
            </w:r>
          </w:p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усне опитування;</w:t>
            </w:r>
          </w:p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перевірка практичних завдань;</w:t>
            </w:r>
          </w:p>
          <w:p w:rsidR="00C169A7" w:rsidRPr="0068756E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розробка і оприлюднення відео презентацій;</w:t>
            </w:r>
          </w:p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передбаченої програмою курсу самостійної роботи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9A7" w:rsidRPr="00067DBB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Допуском до іспиту є відвідування не менше 50 % занять, результати тестування на платформі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дистанційного навчанн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виконання самостійної роботи.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Якщо здобувач не ліквідував заборгованість та не набрав мінімальну кількість балів (25 балів)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він може бути рекомендований на повторне вивчення даної дисципліни.</w:t>
            </w:r>
          </w:p>
          <w:p w:rsidR="00C169A7" w:rsidRDefault="00C169A7" w:rsidP="00B52D92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курсу базується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активній взаємодії між учасниками освітнього процесу.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7E16DF" w:rsidRDefault="00C169A7" w:rsidP="00C169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C169A7" w:rsidRPr="00EF18C6" w:rsidTr="00B52D92">
        <w:tc>
          <w:tcPr>
            <w:tcW w:w="10002" w:type="dxa"/>
            <w:gridSpan w:val="12"/>
          </w:tcPr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>1.</w:t>
            </w:r>
            <w:r w:rsidRPr="003763D0">
              <w:rPr>
                <w:rFonts w:ascii="Times New Roman" w:hAnsi="Times New Roman" w:cs="Times New Roman"/>
                <w:sz w:val="24"/>
              </w:rPr>
              <w:t xml:space="preserve">Андрєєв М. В. Принципи й аспекти толерантного виховання / М.В.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Андреєв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// Теорія та методика навчання та виховання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зб.наукових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праць / за ред. Г. В.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Троцко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X., 2008. – Вип. 20. – С.3-9.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2. Артемова Л.В. Програма з українознавства // Палітра педагога. –1997. -No 1.-С. 4-9.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3. Бабій О.М. Феномен ідеалу та утопічна свідомість //Світогляд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ідуховна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творчсть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К: Наук, думка, 1993. – С. 144-152.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Багалей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Д. И.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История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г.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Харькова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за 250 лет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существования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(1655-1905)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истор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монография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В 2 т. / Д. И.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Багалей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>, Д. П.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Миллер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X.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Харьковская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книжная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фабрика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им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М. В. Фрунзе, 1993. – Т. 2. – 982 с. 5. Багнюк А. Символи українства. – Тернопіль, 2008.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lastRenderedPageBreak/>
              <w:t xml:space="preserve">6. Базовий компонент дошкільної освіти в Україні </w:t>
            </w:r>
            <w:r w:rsidRPr="003763D0">
              <w:rPr>
                <w:rFonts w:ascii="Times New Roman" w:hAnsi="Times New Roman" w:cs="Times New Roman"/>
                <w:sz w:val="24"/>
              </w:rPr>
              <w:t>(НОВА РЕДАКЦІЯ 2021 РІК)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 7. Бандурка О. М. Професійна етика працівників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органіввнутрішніх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справ : навчальний посібник / О. М. Бандурка. – X. :Вид-во НУВС, 2001. – 200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8. Баран В. Д. Давні слов’яни./Баран В. Д. – К., 1998. – С. 140 – 164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9.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Бахутіна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Г. Формування елементів національної культури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удітей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шостого року життя засобами української народної іграшки: автореф. дис. на здобуття наук, ступеня канд. пед. наук / О. Г.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Бахутіна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К., 1999.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10.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П. Нова парадигма української філософії. – Дрогобич:449“Коло”, 2003.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11.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Берко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П.,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Небелюк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М. Еволюція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філософічно-політичнихпоглядів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Івана Франка. – Борислав, 2001.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12.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Богуш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А. М. Витоки мовленнєвого розвитку дітей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дошкільноговіку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К., 1977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13. Бойко А. М. Оновлена парадигма виховання: шляхи реалізації /А. М. Бойко. -К. :ІЗМН, 1996.- 232 с. 14. Борисенко В. Весільні звичаї та обряди на Україні. – К., 1998.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15.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Брагінець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А. Філософські і суспільно-політичні погляди Івана Франка.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-Львів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Книжковожурнальне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видавництво, 1956.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16. Будник О. Особливості української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етнопедагогіки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[Текст] / О.Будник /У Дайджест: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Школапарк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педагогічних ідей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татехнологій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-2002.-No2.-С 116-118.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17.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Бутенко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Н. Ю. Комунікативна майстерність викладача :навчальний посібник / Н. Ю.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Бутенко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К. : КНЕУ, 2005. – 336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18.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В’ялов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Ідеальний учень, або Модель випускника в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школі“Початок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мудрості / О.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В’ялов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// Завуч. – 2009. –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11 (377). – С.9-11.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19.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Варецька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В. Проблема єдності економічного та духовного виховання особистості в психолого-педагогічних дослідженнях /О. В.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Варецька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// Педагогіка і психологія формування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творчоїособиетості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: проблеми і пошуки : зб. наукових праць /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редкол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Т.І.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Сущенко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відп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ред.) та ін. – Київ – Запоріжжя, 2002.-Вип. 27.-С. 158-165.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20.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Васіна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3. Український літопис вбрання. – К., 2006.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21. Ващенко Г. Виховання любові до Батьківщини // Вибрані450педагогічні твори. – Дрогобич, 1997. – С. 56-98. 22. Ващенко Г. Виховний ідеал.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-Полтава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, 1994.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23.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Вербицкий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А. А.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Активное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высшей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>: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контекстный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подход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методическое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пособие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/ А. А.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Вербицький.–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М.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Высш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шк., 1991. – 207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24. Виноградов Г.С. Народна педагогіка. Іркутськ, 1926.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25.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Винославська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В. Людські стосунки : навчальний посібник / О.В.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Винославська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, М. П.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Малигіна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2-е вид., перероб. і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допов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–К. : Центр навчальної літератури, 2006. – 142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26. Вишневський О. Сучасне українське виховання. Любов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доБатьківщини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-Львів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, 1999. – 68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27. Вишневський О. Сучасне українське виховання.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Педагогічнінариси.-Львів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, 1996.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28. Вишневський О. Український виховний ідеал і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національнийхарактер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(витоки,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З-Омформації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і сучасні виклики) : монографія /О. Вишневський. – Дрогобич : видавець Святослав Сурма, 20 Ю.– 160 с. 29. Вітвицька С. С. Основи педагогіки вищої школи : метод,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посіб.для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студентів магістратури / С. С. Вітвицька. – К.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Центрнавчальної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літератури, 2003. – 316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30. Вовк X. Студії з української етнографії та антропології. – К.,1995.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31. Волинь у фольклорно-етнографічних писаннях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МиколиКостомарова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Укл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СІ. Шевчук. – Рівне, 2007.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32. Волков Г. Н.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Этнопедагогика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учеб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для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студ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сред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и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высш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пед.учеб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заведений / Г. Н. Волков – М. :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Издательский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центр451“Академия”, 1999. – 168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33. Волков Г.Н.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Зтнопедагогика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– Чебоксари, 1972. – 42 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34.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Воропай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“Звичаї нашого народу” Київ “Оберіг” 1993 р.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35.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Воропай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О. Звичаї нашого народу. – У 2 т. – К., 1991.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36. Гавриленко Л. Криниця. Просвіта. Луцьк, 2001.160с. </w:t>
            </w:r>
          </w:p>
          <w:p w:rsidR="00C169A7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lastRenderedPageBreak/>
              <w:t xml:space="preserve">37.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Генон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Рене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Символи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священной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науки /Пер, с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франц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. Н.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Тирос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>. –М.: “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Беловодье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”, 1997. – 496 с.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38. Глухова Н.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Екологізація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як чинник формування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гуманноїособистості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дитини // Дошкільне виховання. – 2001. –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11-12. –С. 10-11. Прапор, 1998. – 78 с.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39.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Гоимич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Марина. Традиційний світогляд та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етнопсихологічніконстанти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українців (Когнітивна антропологія). – К., 2000. – 379с,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40. Горбач Н. До питання про філософські переконання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ІванаФранка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// Іван Франко – письменник, мислитель, громадянин:Матеріали міжнародної наукової конференції – Львів, “Світ”, 1998, с. 152.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41. Гродненський І Р – Рідними просторами. – К , 1979 – 148 с.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42. Грушевський М. Історія України. – К., 1991. – 692 с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43. Гуревич А.Я.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Исторический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синтез и Школа “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Анналов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”. /Гуревич А.Я.- М.: РОССПЗН, 1993.- 243 с.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44. Гутник І. Козацька педагогіка як складова системи 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національно-го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виховання молоді [Текст] / Гутник // Початкова школа. – 2003.-No 10. -С. 47-49.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45. Державна національна програма “Освіта” Україна XXI ст. – К.,1994.452 </w:t>
            </w:r>
          </w:p>
          <w:p w:rsidR="003763D0" w:rsidRPr="003763D0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 xml:space="preserve">46. Джура О. Духовне відродження як утвердження християнських ідеалів і цінностей / О. Джура // Вища освіта України. – 2009. –No 3. – С. 72-73. </w:t>
            </w:r>
          </w:p>
          <w:p w:rsidR="00C169A7" w:rsidRPr="00067DBB" w:rsidRDefault="00C169A7" w:rsidP="00C169A7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3D0">
              <w:rPr>
                <w:rFonts w:ascii="Times New Roman" w:hAnsi="Times New Roman" w:cs="Times New Roman"/>
                <w:sz w:val="24"/>
              </w:rPr>
              <w:t>47. Дмитренко Г.К Українська дівоча врода: Сценарій літературно-мистецького свята старшокласників //Особливості сучасного виховання учнівської молоді /Ред. рада: В.І.</w:t>
            </w:r>
            <w:proofErr w:type="spellStart"/>
            <w:r w:rsidRPr="003763D0">
              <w:rPr>
                <w:rFonts w:ascii="Times New Roman" w:hAnsi="Times New Roman" w:cs="Times New Roman"/>
                <w:sz w:val="24"/>
              </w:rPr>
              <w:t>Сафіулін</w:t>
            </w:r>
            <w:proofErr w:type="spellEnd"/>
            <w:r w:rsidRPr="003763D0">
              <w:rPr>
                <w:rFonts w:ascii="Times New Roman" w:hAnsi="Times New Roman" w:cs="Times New Roman"/>
                <w:sz w:val="24"/>
              </w:rPr>
              <w:t xml:space="preserve"> (голови, ред.) та ін. – К.: Вересень, 2006. – С. 84-99.</w:t>
            </w:r>
          </w:p>
        </w:tc>
      </w:tr>
    </w:tbl>
    <w:p w:rsidR="00C169A7" w:rsidRDefault="00C169A7" w:rsidP="00C16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69A7" w:rsidRDefault="00C169A7" w:rsidP="00C16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69A7" w:rsidRDefault="00C169A7" w:rsidP="00C16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69A7" w:rsidRPr="00C52D1F" w:rsidRDefault="00C169A7" w:rsidP="00C169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Викладач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Лисенко О.М.</w:t>
      </w:r>
    </w:p>
    <w:p w:rsidR="00C169A7" w:rsidRPr="0025285C" w:rsidRDefault="00C169A7" w:rsidP="00C16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026" w:rsidRDefault="006A0026">
      <w:bookmarkStart w:id="0" w:name="_GoBack"/>
      <w:bookmarkEnd w:id="0"/>
    </w:p>
    <w:sectPr w:rsidR="006A0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30B1"/>
    <w:multiLevelType w:val="hybridMultilevel"/>
    <w:tmpl w:val="5F8E5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84687"/>
    <w:multiLevelType w:val="multilevel"/>
    <w:tmpl w:val="C9BE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A7"/>
    <w:rsid w:val="003763D0"/>
    <w:rsid w:val="006A0026"/>
    <w:rsid w:val="00C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A7"/>
    <w:pPr>
      <w:ind w:left="720"/>
      <w:contextualSpacing/>
    </w:pPr>
  </w:style>
  <w:style w:type="table" w:styleId="a4">
    <w:name w:val="Table Grid"/>
    <w:basedOn w:val="a1"/>
    <w:uiPriority w:val="39"/>
    <w:rsid w:val="00C16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6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A7"/>
    <w:pPr>
      <w:ind w:left="720"/>
      <w:contextualSpacing/>
    </w:pPr>
  </w:style>
  <w:style w:type="table" w:styleId="a4">
    <w:name w:val="Table Grid"/>
    <w:basedOn w:val="a1"/>
    <w:uiPriority w:val="39"/>
    <w:rsid w:val="00C16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6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8835</Words>
  <Characters>5037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2022-02-09T10:11:00Z</dcterms:created>
  <dcterms:modified xsi:type="dcterms:W3CDTF">2022-02-09T10:22:00Z</dcterms:modified>
</cp:coreProperties>
</file>