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6C" w:rsidRPr="0042006F" w:rsidRDefault="005D626C" w:rsidP="005D626C">
      <w:pPr>
        <w:jc w:val="center"/>
        <w:rPr>
          <w:b/>
          <w:sz w:val="28"/>
          <w:szCs w:val="28"/>
        </w:rPr>
      </w:pPr>
      <w:r w:rsidRPr="0042006F">
        <w:rPr>
          <w:b/>
          <w:sz w:val="28"/>
          <w:szCs w:val="28"/>
        </w:rPr>
        <w:t>МІНІСТЕРСТВО ОСВІТИ І НАУКИ УКРАЇНИ</w:t>
      </w: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  <w:r w:rsidRPr="0042006F">
        <w:rPr>
          <w:b/>
          <w:sz w:val="28"/>
          <w:szCs w:val="28"/>
        </w:rPr>
        <w:t>ПРИКАРПАТСЬКИЙ НАЦІОНАЛЬНИЙ УНІВЕРСИТЕТ</w:t>
      </w: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  <w:r w:rsidRPr="0042006F">
        <w:rPr>
          <w:b/>
          <w:sz w:val="28"/>
          <w:szCs w:val="28"/>
        </w:rPr>
        <w:t>ІМЕНІ ВАСИЛЯ СТЕФАНИКА</w:t>
      </w: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  <w:r w:rsidRPr="0042006F">
        <w:rPr>
          <w:sz w:val="28"/>
          <w:szCs w:val="28"/>
        </w:rPr>
        <w:t>Навчально-науковий юридичний інститут</w:t>
      </w: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  <w:r w:rsidRPr="0042006F">
        <w:rPr>
          <w:sz w:val="28"/>
          <w:szCs w:val="28"/>
        </w:rPr>
        <w:t>Кафедра конституційного, міжнародного та адміністративного права</w:t>
      </w: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  <w:r w:rsidRPr="0042006F">
        <w:rPr>
          <w:b/>
          <w:sz w:val="28"/>
          <w:szCs w:val="28"/>
        </w:rPr>
        <w:t>СИЛАБУС НАВЧАЛЬНОЇ ДИСЦИПЛІНИ</w:t>
      </w: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jc w:val="center"/>
        <w:rPr>
          <w:b/>
          <w:bCs/>
          <w:sz w:val="28"/>
          <w:szCs w:val="28"/>
        </w:rPr>
      </w:pPr>
      <w:bookmarkStart w:id="0" w:name="_Hlk48037759"/>
      <w:r>
        <w:rPr>
          <w:b/>
          <w:bCs/>
          <w:sz w:val="28"/>
          <w:szCs w:val="28"/>
        </w:rPr>
        <w:t>КОНСТИТУЦІЙНЕ ТА ІНСТИТУЦІЙНЕ ПРАВО ЄС</w:t>
      </w:r>
    </w:p>
    <w:bookmarkEnd w:id="0"/>
    <w:p w:rsidR="005D626C" w:rsidRPr="0042006F" w:rsidRDefault="005D626C" w:rsidP="005D626C">
      <w:pPr>
        <w:jc w:val="center"/>
        <w:rPr>
          <w:b/>
          <w:sz w:val="28"/>
          <w:szCs w:val="28"/>
          <w:u w:val="single"/>
        </w:rPr>
      </w:pPr>
    </w:p>
    <w:p w:rsidR="005D626C" w:rsidRPr="0042006F" w:rsidRDefault="005D626C" w:rsidP="005D626C">
      <w:pPr>
        <w:rPr>
          <w:sz w:val="28"/>
          <w:szCs w:val="28"/>
        </w:rPr>
      </w:pPr>
      <w:r w:rsidRPr="0042006F">
        <w:rPr>
          <w:sz w:val="28"/>
          <w:szCs w:val="28"/>
        </w:rPr>
        <w:t xml:space="preserve">                          Рівень вищої освіти − </w:t>
      </w:r>
      <w:r w:rsidRPr="0042006F">
        <w:rPr>
          <w:iCs/>
          <w:sz w:val="28"/>
          <w:szCs w:val="28"/>
        </w:rPr>
        <w:t>перший (бакалаврський</w:t>
      </w:r>
      <w:r w:rsidRPr="0042006F">
        <w:rPr>
          <w:sz w:val="28"/>
          <w:szCs w:val="28"/>
        </w:rPr>
        <w:t>)</w:t>
      </w:r>
    </w:p>
    <w:p w:rsidR="005D626C" w:rsidRPr="0042006F" w:rsidRDefault="005D626C" w:rsidP="005D626C">
      <w:pPr>
        <w:rPr>
          <w:sz w:val="28"/>
          <w:szCs w:val="28"/>
        </w:rPr>
      </w:pPr>
      <w:r w:rsidRPr="0042006F">
        <w:rPr>
          <w:sz w:val="28"/>
          <w:szCs w:val="28"/>
        </w:rPr>
        <w:t xml:space="preserve">                       </w:t>
      </w:r>
    </w:p>
    <w:p w:rsidR="005D626C" w:rsidRPr="0042006F" w:rsidRDefault="005D626C" w:rsidP="005D626C">
      <w:pPr>
        <w:rPr>
          <w:sz w:val="28"/>
          <w:szCs w:val="28"/>
        </w:rPr>
      </w:pPr>
      <w:r w:rsidRPr="0042006F">
        <w:rPr>
          <w:sz w:val="28"/>
          <w:szCs w:val="28"/>
        </w:rPr>
        <w:t xml:space="preserve">                          </w:t>
      </w:r>
      <w:proofErr w:type="spellStart"/>
      <w:r w:rsidRPr="0042006F">
        <w:rPr>
          <w:sz w:val="28"/>
          <w:szCs w:val="28"/>
        </w:rPr>
        <w:t>Освітньо</w:t>
      </w:r>
      <w:proofErr w:type="spellEnd"/>
      <w:r w:rsidRPr="0042006F">
        <w:rPr>
          <w:sz w:val="28"/>
          <w:szCs w:val="28"/>
        </w:rPr>
        <w:t xml:space="preserve">-наукова програма </w:t>
      </w:r>
      <w:r>
        <w:rPr>
          <w:sz w:val="28"/>
          <w:szCs w:val="28"/>
        </w:rPr>
        <w:t>«Міжнародне та європейське п</w:t>
      </w:r>
      <w:r w:rsidRPr="0042006F">
        <w:rPr>
          <w:sz w:val="28"/>
          <w:szCs w:val="28"/>
        </w:rPr>
        <w:t>раво</w:t>
      </w:r>
      <w:r>
        <w:rPr>
          <w:sz w:val="28"/>
          <w:szCs w:val="28"/>
        </w:rPr>
        <w:t xml:space="preserve">» </w:t>
      </w: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rPr>
          <w:sz w:val="28"/>
          <w:szCs w:val="28"/>
        </w:rPr>
      </w:pPr>
      <w:r w:rsidRPr="0042006F">
        <w:rPr>
          <w:sz w:val="28"/>
          <w:szCs w:val="28"/>
        </w:rPr>
        <w:t xml:space="preserve">                          Спеціальність 081 Право</w:t>
      </w: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rPr>
          <w:sz w:val="28"/>
          <w:szCs w:val="28"/>
        </w:rPr>
      </w:pPr>
      <w:r w:rsidRPr="0042006F">
        <w:rPr>
          <w:sz w:val="28"/>
          <w:szCs w:val="28"/>
        </w:rPr>
        <w:t xml:space="preserve">                          Галузь знань 08 Право</w:t>
      </w: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right"/>
        <w:rPr>
          <w:sz w:val="28"/>
          <w:szCs w:val="28"/>
        </w:rPr>
      </w:pPr>
      <w:r w:rsidRPr="0042006F">
        <w:rPr>
          <w:sz w:val="28"/>
          <w:szCs w:val="28"/>
        </w:rPr>
        <w:t>Затверджено на засіданні кафедри</w:t>
      </w:r>
    </w:p>
    <w:p w:rsidR="005D626C" w:rsidRPr="0042006F" w:rsidRDefault="005D626C" w:rsidP="005D626C">
      <w:pPr>
        <w:jc w:val="right"/>
        <w:rPr>
          <w:sz w:val="28"/>
          <w:szCs w:val="28"/>
        </w:rPr>
      </w:pPr>
      <w:r w:rsidRPr="0042006F">
        <w:rPr>
          <w:sz w:val="28"/>
          <w:szCs w:val="28"/>
        </w:rPr>
        <w:t xml:space="preserve">Протокол № 7 від 27 січня 2022 р.  </w:t>
      </w: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D626C" w:rsidRPr="0042006F" w:rsidRDefault="005D626C" w:rsidP="005D626C">
      <w:pPr>
        <w:jc w:val="center"/>
        <w:rPr>
          <w:sz w:val="28"/>
          <w:szCs w:val="28"/>
        </w:rPr>
      </w:pPr>
      <w:r w:rsidRPr="0042006F">
        <w:rPr>
          <w:sz w:val="28"/>
          <w:szCs w:val="28"/>
        </w:rPr>
        <w:t>м. Івано-Франківськ – 2022</w:t>
      </w:r>
    </w:p>
    <w:p w:rsidR="005D626C" w:rsidRPr="0042006F" w:rsidRDefault="005D626C" w:rsidP="005D626C">
      <w:pPr>
        <w:jc w:val="center"/>
        <w:rPr>
          <w:sz w:val="28"/>
          <w:szCs w:val="28"/>
        </w:rPr>
      </w:pPr>
      <w:r w:rsidRPr="0042006F">
        <w:rPr>
          <w:sz w:val="28"/>
          <w:szCs w:val="28"/>
        </w:rPr>
        <w:br w:type="page"/>
      </w: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jc w:val="center"/>
        <w:rPr>
          <w:b/>
          <w:sz w:val="28"/>
          <w:szCs w:val="28"/>
        </w:rPr>
      </w:pPr>
      <w:r w:rsidRPr="0042006F">
        <w:rPr>
          <w:b/>
          <w:sz w:val="28"/>
          <w:szCs w:val="28"/>
        </w:rPr>
        <w:t>ЗМІСТ</w:t>
      </w:r>
    </w:p>
    <w:p w:rsidR="005D626C" w:rsidRPr="0042006F" w:rsidRDefault="005D626C" w:rsidP="005D626C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D626C" w:rsidRPr="0042006F" w:rsidRDefault="005D626C" w:rsidP="005D62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006F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5D626C" w:rsidRPr="0042006F" w:rsidRDefault="005D626C" w:rsidP="005D62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006F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5D626C" w:rsidRPr="0042006F" w:rsidRDefault="005D626C" w:rsidP="005D62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006F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5D626C" w:rsidRPr="0042006F" w:rsidRDefault="005D626C" w:rsidP="005D62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006F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D626C" w:rsidRPr="0042006F" w:rsidRDefault="005D626C" w:rsidP="005D62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006F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5D626C" w:rsidRPr="0042006F" w:rsidRDefault="005D626C" w:rsidP="005D62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006F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5D626C" w:rsidRPr="0042006F" w:rsidRDefault="005D626C" w:rsidP="005D62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006F"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:rsidR="005D626C" w:rsidRPr="0042006F" w:rsidRDefault="005D626C" w:rsidP="005D62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006F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5D626C" w:rsidRPr="0042006F" w:rsidRDefault="005D626C" w:rsidP="005D626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</w:p>
    <w:p w:rsidR="005D626C" w:rsidRPr="0042006F" w:rsidRDefault="005D626C" w:rsidP="005D626C">
      <w:pPr>
        <w:jc w:val="both"/>
        <w:rPr>
          <w:sz w:val="28"/>
          <w:szCs w:val="28"/>
        </w:rPr>
      </w:pPr>
      <w:r w:rsidRPr="0042006F">
        <w:rPr>
          <w:sz w:val="28"/>
          <w:szCs w:val="28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lastRenderedPageBreak/>
              <w:t>1. Загальна інформація</w:t>
            </w:r>
          </w:p>
        </w:tc>
      </w:tr>
      <w:tr w:rsidR="005D626C" w:rsidRPr="0042006F" w:rsidTr="0088234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Конституційне та інституційне право ЄС</w:t>
            </w:r>
          </w:p>
        </w:tc>
      </w:tr>
      <w:tr w:rsidR="005D626C" w:rsidRPr="0042006F" w:rsidTr="0088234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Книш Віталій Васильович</w:t>
            </w:r>
          </w:p>
        </w:tc>
      </w:tr>
      <w:tr w:rsidR="005D626C" w:rsidRPr="0042006F" w:rsidTr="0088234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Default="005D626C" w:rsidP="00882346">
            <w:pPr>
              <w:jc w:val="both"/>
              <w:rPr>
                <w:color w:val="262626"/>
                <w:sz w:val="28"/>
                <w:szCs w:val="28"/>
                <w:shd w:val="clear" w:color="auto" w:fill="FFFFFF"/>
              </w:rPr>
            </w:pPr>
            <w:r w:rsidRPr="0042006F">
              <w:rPr>
                <w:sz w:val="28"/>
                <w:szCs w:val="28"/>
              </w:rPr>
              <w:t xml:space="preserve">+38 (0342) </w:t>
            </w:r>
            <w:r w:rsidRPr="0042006F">
              <w:rPr>
                <w:color w:val="262626"/>
                <w:sz w:val="28"/>
                <w:szCs w:val="28"/>
                <w:shd w:val="clear" w:color="auto" w:fill="FFFFFF"/>
              </w:rPr>
              <w:t>596134</w:t>
            </w:r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 (068</w:t>
            </w:r>
            <w:r w:rsidRPr="0042006F">
              <w:rPr>
                <w:sz w:val="28"/>
                <w:szCs w:val="28"/>
              </w:rPr>
              <w:t xml:space="preserve">) </w:t>
            </w:r>
            <w:r>
              <w:rPr>
                <w:color w:val="262626"/>
                <w:sz w:val="28"/>
                <w:szCs w:val="28"/>
                <w:shd w:val="clear" w:color="auto" w:fill="FFFFFF"/>
              </w:rPr>
              <w:t>8546816</w:t>
            </w:r>
          </w:p>
        </w:tc>
      </w:tr>
      <w:tr w:rsidR="005D626C" w:rsidRPr="0042006F" w:rsidTr="0088234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E-</w:t>
            </w:r>
            <w:proofErr w:type="spellStart"/>
            <w:r w:rsidRPr="0042006F">
              <w:rPr>
                <w:b/>
                <w:sz w:val="28"/>
                <w:szCs w:val="28"/>
              </w:rPr>
              <w:t>mail</w:t>
            </w:r>
            <w:proofErr w:type="spellEnd"/>
            <w:r w:rsidRPr="0042006F">
              <w:rPr>
                <w:b/>
                <w:sz w:val="28"/>
                <w:szCs w:val="28"/>
              </w:rPr>
              <w:t xml:space="preserve">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A35C42" w:rsidP="00882346">
            <w:pPr>
              <w:jc w:val="both"/>
              <w:rPr>
                <w:sz w:val="28"/>
                <w:szCs w:val="28"/>
              </w:rPr>
            </w:pPr>
            <w:hyperlink r:id="rId5" w:history="1">
              <w:r w:rsidR="005D626C" w:rsidRPr="00886117">
                <w:rPr>
                  <w:rStyle w:val="a3"/>
                  <w:sz w:val="28"/>
                  <w:szCs w:val="28"/>
                  <w:shd w:val="clear" w:color="auto" w:fill="FFFFFF"/>
                </w:rPr>
                <w:t>vitaliy.knysh@pnu.edu.ua</w:t>
              </w:r>
            </w:hyperlink>
          </w:p>
        </w:tc>
      </w:tr>
      <w:tr w:rsidR="005D626C" w:rsidRPr="0042006F" w:rsidTr="0088234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5D626C" w:rsidRPr="0042006F">
              <w:rPr>
                <w:sz w:val="28"/>
                <w:szCs w:val="28"/>
              </w:rPr>
              <w:t>очний</w:t>
            </w:r>
          </w:p>
        </w:tc>
      </w:tr>
      <w:tr w:rsidR="005D626C" w:rsidRPr="0042006F" w:rsidTr="0088234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кредити ЄКТС, 90</w:t>
            </w:r>
            <w:r w:rsidRPr="0042006F">
              <w:rPr>
                <w:sz w:val="28"/>
                <w:szCs w:val="28"/>
              </w:rPr>
              <w:t xml:space="preserve"> год.</w:t>
            </w:r>
          </w:p>
        </w:tc>
      </w:tr>
      <w:tr w:rsidR="005D626C" w:rsidRPr="0042006F" w:rsidTr="0088234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A35C42" w:rsidP="00882346">
            <w:pPr>
              <w:jc w:val="both"/>
              <w:rPr>
                <w:sz w:val="28"/>
                <w:szCs w:val="28"/>
              </w:rPr>
            </w:pPr>
            <w:hyperlink r:id="rId6" w:history="1">
              <w:r w:rsidR="005D626C" w:rsidRPr="0042006F">
                <w:rPr>
                  <w:rStyle w:val="a3"/>
                  <w:sz w:val="28"/>
                  <w:szCs w:val="28"/>
                </w:rPr>
                <w:t>https://d-learn.pnu.edu.ua/index.php?mod=course&amp;action=ReviewOneCourse&amp;id_cat=88&amp;id_cou=66</w:t>
              </w:r>
            </w:hyperlink>
          </w:p>
        </w:tc>
      </w:tr>
      <w:tr w:rsidR="005D626C" w:rsidRPr="0042006F" w:rsidTr="0088234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2006F">
              <w:rPr>
                <w:i/>
                <w:iCs/>
                <w:sz w:val="28"/>
                <w:szCs w:val="28"/>
              </w:rPr>
              <w:t xml:space="preserve">розміщеному на інформаційному стенді та сайті кафедри </w:t>
            </w:r>
            <w:hyperlink r:id="rId7" w:history="1">
              <w:r w:rsidRPr="0042006F">
                <w:rPr>
                  <w:rStyle w:val="a3"/>
                  <w:sz w:val="28"/>
                  <w:szCs w:val="28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Також можливі консультації шляхом листування через електронну пошту, зокрема, що стосується погодження планів та індивідуальних науково-дослідних завдань.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2. Анотація до навчальної дисципліни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TimesNewRomanPSMT"/>
                <w:sz w:val="28"/>
                <w:szCs w:val="28"/>
              </w:rPr>
            </w:pPr>
            <w:r w:rsidRPr="0042006F">
              <w:rPr>
                <w:sz w:val="28"/>
                <w:szCs w:val="28"/>
                <w:u w:val="single"/>
              </w:rPr>
              <w:t>Предметом</w:t>
            </w:r>
            <w:r>
              <w:rPr>
                <w:sz w:val="28"/>
                <w:szCs w:val="28"/>
              </w:rPr>
              <w:t xml:space="preserve"> вивчення </w:t>
            </w:r>
            <w:r w:rsidRPr="0042006F">
              <w:rPr>
                <w:sz w:val="28"/>
                <w:szCs w:val="28"/>
              </w:rPr>
              <w:t>навчальної дисципліни є</w:t>
            </w:r>
            <w:r>
              <w:rPr>
                <w:rFonts w:eastAsia="TimesNewRomanPSMT"/>
                <w:sz w:val="28"/>
                <w:szCs w:val="28"/>
              </w:rPr>
              <w:t xml:space="preserve"> конституційні акти права ЄС, акти, які врегульовують діяльність європейських інституцій</w:t>
            </w:r>
            <w:r w:rsidRPr="0042006F">
              <w:rPr>
                <w:rFonts w:eastAsia="TimesNewRomanPSMT"/>
                <w:sz w:val="28"/>
                <w:szCs w:val="28"/>
              </w:rPr>
              <w:t>, а також практика реалізації</w:t>
            </w:r>
            <w:r>
              <w:rPr>
                <w:rFonts w:eastAsia="TimesNewRomanPSMT"/>
                <w:sz w:val="28"/>
                <w:szCs w:val="28"/>
              </w:rPr>
              <w:t xml:space="preserve"> зазначених актів у рамках ЄС</w:t>
            </w:r>
            <w:r w:rsidRPr="0042006F">
              <w:rPr>
                <w:rFonts w:eastAsia="TimesNewRomanPSMT"/>
                <w:sz w:val="28"/>
                <w:szCs w:val="28"/>
              </w:rPr>
              <w:t>.</w:t>
            </w:r>
          </w:p>
          <w:p w:rsidR="005D626C" w:rsidRPr="0042006F" w:rsidRDefault="005D626C" w:rsidP="00882346">
            <w:pPr>
              <w:ind w:firstLine="426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Програма навчальної дисципліни складається з таких </w:t>
            </w:r>
            <w:r w:rsidRPr="0042006F">
              <w:rPr>
                <w:sz w:val="28"/>
                <w:szCs w:val="28"/>
                <w:u w:val="single"/>
              </w:rPr>
              <w:t>змістових модулів</w:t>
            </w:r>
            <w:r w:rsidRPr="0042006F">
              <w:rPr>
                <w:sz w:val="28"/>
                <w:szCs w:val="28"/>
              </w:rPr>
              <w:t>:</w:t>
            </w:r>
          </w:p>
          <w:p w:rsidR="005D626C" w:rsidRPr="0042006F" w:rsidRDefault="005D626C" w:rsidP="00882346">
            <w:pPr>
              <w:ind w:firstLine="426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Конституційне право ЄС та етапи становлення права ЄС. </w:t>
            </w:r>
          </w:p>
          <w:p w:rsidR="005D626C" w:rsidRPr="0042006F" w:rsidRDefault="005D626C" w:rsidP="00882346">
            <w:pPr>
              <w:ind w:firstLine="426"/>
              <w:jc w:val="both"/>
              <w:rPr>
                <w:bCs/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Інституційне право ЄС</w:t>
            </w:r>
            <w:r w:rsidRPr="0042006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D626C" w:rsidRPr="00562F74" w:rsidRDefault="005D626C" w:rsidP="00882346">
            <w:pPr>
              <w:pStyle w:val="2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Довготривалий розвиток інституцій Європейського Союзу та становлення конституційного права ЄС, а також Угода</w:t>
            </w:r>
            <w:r w:rsidRPr="00562F74">
              <w:rPr>
                <w:sz w:val="28"/>
                <w:szCs w:val="28"/>
              </w:rPr>
              <w:t xml:space="preserve"> про асоціацію між Україною та Європейським Союзом</w:t>
            </w:r>
            <w:r>
              <w:rPr>
                <w:sz w:val="28"/>
                <w:szCs w:val="28"/>
              </w:rPr>
              <w:t xml:space="preserve"> </w:t>
            </w:r>
            <w:r w:rsidRPr="00562F74">
              <w:rPr>
                <w:sz w:val="28"/>
                <w:szCs w:val="28"/>
              </w:rPr>
              <w:t>створює нові стратегічні перспективи для поглиблення євроінтеграційних</w:t>
            </w:r>
            <w:r>
              <w:rPr>
                <w:sz w:val="28"/>
                <w:szCs w:val="28"/>
              </w:rPr>
              <w:t xml:space="preserve"> </w:t>
            </w:r>
            <w:r w:rsidRPr="00562F74">
              <w:rPr>
                <w:sz w:val="28"/>
                <w:szCs w:val="28"/>
              </w:rPr>
              <w:t>процесів у нашій державі і ставить на порядок денний необхідність підготовки</w:t>
            </w:r>
            <w:r>
              <w:rPr>
                <w:sz w:val="28"/>
                <w:szCs w:val="28"/>
              </w:rPr>
              <w:t xml:space="preserve"> </w:t>
            </w:r>
            <w:r w:rsidRPr="00562F74">
              <w:rPr>
                <w:sz w:val="28"/>
                <w:szCs w:val="28"/>
              </w:rPr>
              <w:t>широкого кола фахівців із державного управління в цій сфері. Саме на це</w:t>
            </w:r>
            <w:r>
              <w:rPr>
                <w:sz w:val="28"/>
                <w:szCs w:val="28"/>
              </w:rPr>
              <w:t xml:space="preserve"> спрямоване</w:t>
            </w:r>
            <w:r w:rsidRPr="00562F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вивчення навчальної дисципліни </w:t>
            </w:r>
            <w:r w:rsidRPr="00562F7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Конституційне та інституційне право ЄС». </w:t>
            </w:r>
          </w:p>
          <w:p w:rsidR="005D626C" w:rsidRDefault="005D626C" w:rsidP="00882346">
            <w:pPr>
              <w:ind w:firstLine="426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  <w:u w:val="single"/>
              </w:rPr>
              <w:t>Основними джерелами</w:t>
            </w:r>
            <w:r w:rsidRPr="0042006F">
              <w:rPr>
                <w:sz w:val="28"/>
                <w:szCs w:val="28"/>
              </w:rPr>
              <w:t xml:space="preserve"> цієї галузі виступають </w:t>
            </w:r>
            <w:r>
              <w:rPr>
                <w:sz w:val="28"/>
                <w:szCs w:val="28"/>
              </w:rPr>
              <w:t>Паризький договір</w:t>
            </w:r>
            <w:r w:rsidRPr="00DC1B37">
              <w:rPr>
                <w:sz w:val="28"/>
                <w:szCs w:val="28"/>
              </w:rPr>
              <w:t xml:space="preserve"> про утворення Європейської спільноти вугілля і сталі</w:t>
            </w:r>
            <w:r>
              <w:rPr>
                <w:sz w:val="28"/>
                <w:szCs w:val="28"/>
              </w:rPr>
              <w:t xml:space="preserve"> (1951 р.), Римський договір</w:t>
            </w:r>
            <w:r w:rsidRPr="00DC1B37">
              <w:rPr>
                <w:sz w:val="28"/>
                <w:szCs w:val="28"/>
              </w:rPr>
              <w:t xml:space="preserve"> про заснування Європейської економічної</w:t>
            </w:r>
            <w:r>
              <w:rPr>
                <w:sz w:val="28"/>
                <w:szCs w:val="28"/>
              </w:rPr>
              <w:t xml:space="preserve"> спільноти (1957 р.),</w:t>
            </w:r>
            <w:r w:rsidRPr="00DC1B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Угода</w:t>
            </w:r>
            <w:r w:rsidRPr="00DC1B37">
              <w:rPr>
                <w:sz w:val="28"/>
                <w:szCs w:val="28"/>
              </w:rPr>
              <w:t xml:space="preserve"> про Європейський Союз (</w:t>
            </w:r>
            <w:proofErr w:type="spellStart"/>
            <w:r w:rsidRPr="00DC1B37">
              <w:rPr>
                <w:sz w:val="28"/>
                <w:szCs w:val="28"/>
              </w:rPr>
              <w:t>Маастрихт</w:t>
            </w:r>
            <w:proofErr w:type="spellEnd"/>
            <w:r w:rsidRPr="00DC1B37">
              <w:rPr>
                <w:sz w:val="28"/>
                <w:szCs w:val="28"/>
              </w:rPr>
              <w:t>, 1992</w:t>
            </w:r>
            <w:r>
              <w:rPr>
                <w:sz w:val="28"/>
                <w:szCs w:val="28"/>
              </w:rPr>
              <w:t xml:space="preserve"> р.), Амстердамський договір (1997 р.), Ніццький договір (2001 р.), Лісабонський договір</w:t>
            </w:r>
            <w:r w:rsidRPr="00DC1B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(2007 р.), а також </w:t>
            </w:r>
            <w:r w:rsidRPr="00DC1B37">
              <w:rPr>
                <w:sz w:val="28"/>
                <w:szCs w:val="28"/>
              </w:rPr>
              <w:t xml:space="preserve"> </w:t>
            </w:r>
            <w:r w:rsidRPr="0042006F">
              <w:rPr>
                <w:sz w:val="28"/>
                <w:szCs w:val="28"/>
              </w:rPr>
              <w:t>ряд інших актів</w:t>
            </w:r>
            <w:r>
              <w:rPr>
                <w:sz w:val="28"/>
                <w:szCs w:val="28"/>
              </w:rPr>
              <w:t xml:space="preserve"> у галузі конституційного та інституційного права ЄС</w:t>
            </w:r>
            <w:r w:rsidRPr="0042006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5D626C" w:rsidRPr="0042006F" w:rsidRDefault="005D626C" w:rsidP="00882346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Конституційне та інституційне </w:t>
            </w:r>
            <w:r w:rsidRPr="0042006F">
              <w:rPr>
                <w:sz w:val="28"/>
                <w:szCs w:val="28"/>
              </w:rPr>
              <w:t xml:space="preserve">право </w:t>
            </w:r>
            <w:r>
              <w:rPr>
                <w:sz w:val="28"/>
                <w:szCs w:val="28"/>
              </w:rPr>
              <w:t>ЄС обумовлене поєднанням нормативних та інституційних інституцій</w:t>
            </w:r>
            <w:r w:rsidRPr="0042006F">
              <w:rPr>
                <w:sz w:val="28"/>
                <w:szCs w:val="28"/>
              </w:rPr>
              <w:t>, як</w:t>
            </w:r>
            <w:r>
              <w:rPr>
                <w:sz w:val="28"/>
                <w:szCs w:val="28"/>
              </w:rPr>
              <w:t>е</w:t>
            </w:r>
            <w:r w:rsidRPr="0042006F">
              <w:rPr>
                <w:sz w:val="28"/>
                <w:szCs w:val="28"/>
              </w:rPr>
              <w:t xml:space="preserve"> є предметом вивчення</w:t>
            </w:r>
            <w:r>
              <w:rPr>
                <w:sz w:val="28"/>
                <w:szCs w:val="28"/>
              </w:rPr>
              <w:t xml:space="preserve"> даної дисципліни</w:t>
            </w:r>
            <w:r w:rsidRPr="0042006F">
              <w:rPr>
                <w:sz w:val="28"/>
                <w:szCs w:val="28"/>
              </w:rPr>
              <w:t xml:space="preserve">. </w:t>
            </w:r>
          </w:p>
          <w:p w:rsidR="005D626C" w:rsidRPr="0042006F" w:rsidRDefault="005D626C" w:rsidP="00882346">
            <w:pPr>
              <w:ind w:firstLine="310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Даний навчальний курс має велике значення для </w:t>
            </w:r>
            <w:r>
              <w:rPr>
                <w:sz w:val="28"/>
                <w:szCs w:val="28"/>
              </w:rPr>
              <w:t xml:space="preserve">поглибленої </w:t>
            </w:r>
            <w:r w:rsidRPr="0042006F">
              <w:rPr>
                <w:sz w:val="28"/>
                <w:szCs w:val="28"/>
              </w:rPr>
              <w:t>підготовки фахівців</w:t>
            </w:r>
            <w:r>
              <w:rPr>
                <w:sz w:val="28"/>
                <w:szCs w:val="28"/>
              </w:rPr>
              <w:t xml:space="preserve"> з європейського права</w:t>
            </w:r>
            <w:r w:rsidRPr="0042006F">
              <w:rPr>
                <w:sz w:val="28"/>
                <w:szCs w:val="28"/>
              </w:rPr>
              <w:t>, оскільки надає необхідні правові основи та навички аналізу та застосування</w:t>
            </w:r>
            <w:r>
              <w:rPr>
                <w:sz w:val="28"/>
                <w:szCs w:val="28"/>
              </w:rPr>
              <w:t xml:space="preserve"> основоположних актів права ЄС</w:t>
            </w:r>
            <w:r w:rsidRPr="0042006F">
              <w:rPr>
                <w:sz w:val="28"/>
                <w:szCs w:val="28"/>
              </w:rPr>
              <w:t xml:space="preserve">. 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lastRenderedPageBreak/>
              <w:t xml:space="preserve">3. Мета та цілі навчальної дисципліни 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  <w:u w:val="single"/>
              </w:rPr>
              <w:t>Метою</w:t>
            </w:r>
            <w:r w:rsidRPr="0042006F">
              <w:rPr>
                <w:b/>
                <w:sz w:val="28"/>
                <w:szCs w:val="28"/>
              </w:rPr>
              <w:t xml:space="preserve"> </w:t>
            </w:r>
            <w:r w:rsidRPr="0042006F">
              <w:rPr>
                <w:sz w:val="28"/>
                <w:szCs w:val="28"/>
              </w:rPr>
              <w:t>навчальної дисципліни «</w:t>
            </w:r>
            <w:r>
              <w:rPr>
                <w:sz w:val="28"/>
                <w:szCs w:val="28"/>
              </w:rPr>
              <w:t>Конституційне та інституційне право ЄС</w:t>
            </w:r>
            <w:r w:rsidRPr="0042006F">
              <w:rPr>
                <w:sz w:val="28"/>
                <w:szCs w:val="28"/>
              </w:rPr>
              <w:t>» є</w:t>
            </w:r>
            <w:r>
              <w:rPr>
                <w:sz w:val="28"/>
                <w:szCs w:val="28"/>
              </w:rPr>
              <w:t xml:space="preserve"> формування системних знань</w:t>
            </w:r>
            <w:r w:rsidRPr="00D263C4">
              <w:rPr>
                <w:sz w:val="28"/>
                <w:szCs w:val="28"/>
              </w:rPr>
              <w:t xml:space="preserve"> щодо основних засад</w:t>
            </w:r>
            <w:r>
              <w:rPr>
                <w:sz w:val="28"/>
                <w:szCs w:val="28"/>
              </w:rPr>
              <w:t xml:space="preserve"> конституційного права та </w:t>
            </w:r>
            <w:r w:rsidRPr="00D263C4">
              <w:rPr>
                <w:sz w:val="28"/>
                <w:szCs w:val="28"/>
              </w:rPr>
              <w:t>інституційної системи ЄС, її еволюції та специфіки функціонування, з’ясування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основних напрямів реформування.</w:t>
            </w:r>
            <w:r w:rsidRPr="0042006F">
              <w:rPr>
                <w:sz w:val="28"/>
                <w:szCs w:val="28"/>
              </w:rPr>
              <w:t>.</w:t>
            </w:r>
          </w:p>
          <w:p w:rsidR="005D626C" w:rsidRDefault="005D626C" w:rsidP="00882346">
            <w:pPr>
              <w:ind w:firstLine="310"/>
              <w:jc w:val="both"/>
              <w:rPr>
                <w:spacing w:val="-8"/>
                <w:sz w:val="28"/>
                <w:szCs w:val="28"/>
              </w:rPr>
            </w:pPr>
            <w:r w:rsidRPr="0042006F">
              <w:rPr>
                <w:bCs/>
                <w:sz w:val="28"/>
                <w:szCs w:val="28"/>
                <w:u w:val="single"/>
              </w:rPr>
              <w:t>Основними цілями</w:t>
            </w:r>
            <w:r w:rsidRPr="0042006F">
              <w:rPr>
                <w:sz w:val="28"/>
                <w:szCs w:val="28"/>
              </w:rPr>
              <w:t xml:space="preserve"> вивчення дисципліни «</w:t>
            </w:r>
            <w:r>
              <w:rPr>
                <w:sz w:val="28"/>
                <w:szCs w:val="28"/>
              </w:rPr>
              <w:t>Конституційне та інституційне право ЄС</w:t>
            </w:r>
            <w:r w:rsidRPr="0042006F">
              <w:rPr>
                <w:sz w:val="28"/>
                <w:szCs w:val="28"/>
              </w:rPr>
              <w:t>» є</w:t>
            </w:r>
            <w:r>
              <w:rPr>
                <w:sz w:val="28"/>
                <w:szCs w:val="28"/>
              </w:rPr>
              <w:t xml:space="preserve"> формування високого рівня</w:t>
            </w:r>
            <w:r w:rsidRPr="00D263C4">
              <w:rPr>
                <w:sz w:val="28"/>
                <w:szCs w:val="28"/>
              </w:rPr>
              <w:t xml:space="preserve"> обізнаності щодо змісту основних етапів становлення інституційної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системи ЄС; характерних рис і особливостей організаційної моделі ЄС; структури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інституційної моделі ЄС; напрямів еволюції інституційної системи ЄС згідно з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установчими договорами ЄС; по-друге, розуміти прерогативи, правовий статус,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організаційну структуру й функції інститутів і органів ЄС; по-третє, вміти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використовувати здобуті знання інституційної системи ЄС у вирішенні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професійних завдань на практиці; орієнтуватися в інституційній системі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Європейського Союзу; визначати відмінності в інституційних системах України та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ЄС, застосовуючи метод порівняльного аналізу; самостійно аналізувати вплив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інституційної системи ЄС на сучасну політику європейської інтеграції та критично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оцінювати процеси європейської інтеграції; розробляти практичні рекомендації</w:t>
            </w:r>
            <w:r>
              <w:rPr>
                <w:sz w:val="28"/>
                <w:szCs w:val="28"/>
              </w:rPr>
              <w:t xml:space="preserve"> </w:t>
            </w:r>
            <w:r w:rsidRPr="00D263C4">
              <w:rPr>
                <w:sz w:val="28"/>
                <w:szCs w:val="28"/>
              </w:rPr>
              <w:t>щодо адаптації державного управління в Україні до європейських стандартів.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  <w:p w:rsidR="000F173A" w:rsidRPr="0042006F" w:rsidRDefault="000F173A" w:rsidP="00882346">
            <w:pPr>
              <w:ind w:firstLine="310"/>
              <w:jc w:val="both"/>
              <w:rPr>
                <w:sz w:val="28"/>
                <w:szCs w:val="28"/>
              </w:rPr>
            </w:pP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 xml:space="preserve">4. Програмні компетентності та результати навчання 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42006F">
              <w:rPr>
                <w:sz w:val="28"/>
                <w:szCs w:val="28"/>
                <w:u w:val="single"/>
                <w:lang w:val="uk-UA"/>
              </w:rPr>
              <w:t>Загальні компетентності: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>Здатність до абстрактного мислення, аналізу та синтезу.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>Здатність застосовувати знання у практичних ситуаціях.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>Знання та розуміння предметної та розуміння професійної діяльності.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>Навички використання інформаційних і комунікаційних технологій.</w:t>
            </w:r>
          </w:p>
          <w:p w:rsidR="005D626C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>Здатність вчитися і оволодівати сучасними знаннями.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>Здатність працювати в команді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42006F">
              <w:rPr>
                <w:sz w:val="28"/>
                <w:szCs w:val="28"/>
                <w:u w:val="single"/>
                <w:lang w:val="uk-UA"/>
              </w:rPr>
              <w:t>Фахові компетентності: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 xml:space="preserve">Здатність застосовувати знання завдань, принципів і доктрини </w:t>
            </w:r>
            <w:r>
              <w:rPr>
                <w:sz w:val="28"/>
                <w:szCs w:val="28"/>
                <w:lang w:val="uk-UA"/>
              </w:rPr>
              <w:t>європейськ</w:t>
            </w:r>
            <w:r w:rsidRPr="0042006F">
              <w:rPr>
                <w:sz w:val="28"/>
                <w:szCs w:val="28"/>
                <w:lang w:val="uk-UA"/>
              </w:rPr>
              <w:t>ого права, а також змісту</w:t>
            </w:r>
            <w:r>
              <w:rPr>
                <w:sz w:val="28"/>
                <w:szCs w:val="28"/>
                <w:lang w:val="uk-UA"/>
              </w:rPr>
              <w:t xml:space="preserve"> конституційного та інституційного права ЄС</w:t>
            </w:r>
            <w:r w:rsidRPr="0042006F">
              <w:rPr>
                <w:sz w:val="28"/>
                <w:szCs w:val="28"/>
                <w:lang w:val="uk-UA"/>
              </w:rPr>
              <w:t>.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>Здатність аналізувати правові проблеми, формувати та обґрунтовувати правові позиції</w:t>
            </w:r>
            <w:r>
              <w:rPr>
                <w:sz w:val="28"/>
                <w:szCs w:val="28"/>
                <w:lang w:val="uk-UA"/>
              </w:rPr>
              <w:t xml:space="preserve"> з питань конституційного права ЄС</w:t>
            </w:r>
            <w:r w:rsidRPr="0042006F">
              <w:rPr>
                <w:sz w:val="28"/>
                <w:szCs w:val="28"/>
                <w:lang w:val="uk-UA"/>
              </w:rPr>
              <w:t>.</w:t>
            </w: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5D626C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2006F">
              <w:rPr>
                <w:sz w:val="28"/>
                <w:szCs w:val="28"/>
                <w:lang w:val="uk-UA"/>
              </w:rPr>
              <w:t xml:space="preserve">Здатність до логічного, критичного і системного аналізу </w:t>
            </w:r>
            <w:r>
              <w:rPr>
                <w:sz w:val="28"/>
                <w:szCs w:val="28"/>
                <w:lang w:val="uk-UA"/>
              </w:rPr>
              <w:t>конституційних актів ЄС</w:t>
            </w:r>
            <w:r w:rsidRPr="0042006F">
              <w:rPr>
                <w:sz w:val="28"/>
                <w:szCs w:val="28"/>
                <w:lang w:val="uk-UA"/>
              </w:rPr>
              <w:t>, розуміння їх правового характеру і значення.</w:t>
            </w:r>
          </w:p>
          <w:p w:rsidR="000F173A" w:rsidRPr="0042006F" w:rsidRDefault="000F173A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  <w:p w:rsidR="005D626C" w:rsidRPr="0042006F" w:rsidRDefault="005D626C" w:rsidP="008823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8"/>
                <w:szCs w:val="28"/>
                <w:u w:val="single"/>
                <w:lang w:val="uk-UA"/>
              </w:rPr>
            </w:pPr>
            <w:r w:rsidRPr="0042006F">
              <w:rPr>
                <w:color w:val="auto"/>
                <w:sz w:val="28"/>
                <w:szCs w:val="28"/>
                <w:u w:val="single"/>
                <w:lang w:val="uk-UA"/>
              </w:rPr>
              <w:lastRenderedPageBreak/>
              <w:t>Програмні результати навчання: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006F">
              <w:rPr>
                <w:color w:val="auto"/>
                <w:sz w:val="28"/>
                <w:szCs w:val="28"/>
              </w:rPr>
              <w:t>Здійснювати аналіз суспільних процесів в контексті аналізованої проблеми і демонструвати власне бачення шляхів її розв’язання.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006F">
              <w:rPr>
                <w:color w:val="auto"/>
                <w:sz w:val="28"/>
                <w:szCs w:val="28"/>
              </w:rPr>
              <w:t>Проводити збір і інтегрований аналіз матеріалів з різних джерел.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006F">
              <w:rPr>
                <w:color w:val="auto"/>
                <w:sz w:val="28"/>
                <w:szCs w:val="28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006F">
              <w:rPr>
                <w:color w:val="auto"/>
                <w:sz w:val="28"/>
                <w:szCs w:val="28"/>
              </w:rPr>
              <w:t>Використовувати різноманітні і</w:t>
            </w:r>
            <w:r>
              <w:rPr>
                <w:color w:val="auto"/>
                <w:sz w:val="28"/>
                <w:szCs w:val="28"/>
              </w:rPr>
              <w:t>нформаційні джерела для повного</w:t>
            </w:r>
            <w:r w:rsidRPr="0042006F">
              <w:rPr>
                <w:color w:val="auto"/>
                <w:sz w:val="28"/>
                <w:szCs w:val="28"/>
              </w:rPr>
              <w:t xml:space="preserve"> та всебічного встановлення певних обставин.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006F">
              <w:rPr>
                <w:color w:val="auto"/>
                <w:sz w:val="28"/>
                <w:szCs w:val="28"/>
              </w:rPr>
              <w:t>Доносити до респондента матеріал з певної проблематики доступно і зрозуміло.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006F">
              <w:rPr>
                <w:color w:val="auto"/>
                <w:sz w:val="28"/>
                <w:szCs w:val="28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</w:t>
            </w:r>
            <w:r w:rsidRPr="0042006F">
              <w:rPr>
                <w:color w:val="auto"/>
                <w:sz w:val="28"/>
                <w:szCs w:val="28"/>
              </w:rPr>
              <w:t>ільно використовувати для професійної діяльності доступні інформаційні технології та бази даних.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006F">
              <w:rPr>
                <w:color w:val="auto"/>
                <w:sz w:val="28"/>
                <w:szCs w:val="28"/>
              </w:rPr>
              <w:t xml:space="preserve">Демонструвати необхідні знання і розуміння сутності та змісту основних </w:t>
            </w:r>
            <w:r>
              <w:rPr>
                <w:color w:val="auto"/>
                <w:sz w:val="28"/>
                <w:szCs w:val="28"/>
              </w:rPr>
              <w:t>норм конституційного та інституційного права ЄС</w:t>
            </w:r>
            <w:r w:rsidRPr="0042006F">
              <w:rPr>
                <w:color w:val="auto"/>
                <w:sz w:val="28"/>
                <w:szCs w:val="28"/>
              </w:rPr>
              <w:t>.</w:t>
            </w:r>
          </w:p>
          <w:p w:rsidR="005D626C" w:rsidRPr="0042006F" w:rsidRDefault="005D626C" w:rsidP="008823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006F">
              <w:rPr>
                <w:color w:val="auto"/>
                <w:sz w:val="28"/>
                <w:szCs w:val="28"/>
              </w:rPr>
              <w:t>Готувати проекти необхідних актів застосування права</w:t>
            </w:r>
            <w:r>
              <w:rPr>
                <w:color w:val="auto"/>
                <w:sz w:val="28"/>
                <w:szCs w:val="28"/>
              </w:rPr>
              <w:t>, керуючись положеннями конституційного права ЄС</w:t>
            </w:r>
            <w:r w:rsidRPr="0042006F">
              <w:rPr>
                <w:color w:val="auto"/>
                <w:sz w:val="28"/>
                <w:szCs w:val="28"/>
              </w:rPr>
              <w:t>.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lastRenderedPageBreak/>
              <w:t xml:space="preserve">5. Організація навчання 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Обсяг навчальної дисципліни</w:t>
            </w:r>
          </w:p>
        </w:tc>
      </w:tr>
      <w:tr w:rsidR="005D626C" w:rsidRPr="0042006F" w:rsidTr="00882346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Загальна кількість годин</w:t>
            </w:r>
          </w:p>
        </w:tc>
      </w:tr>
      <w:tr w:rsidR="005D626C" w:rsidRPr="0042006F" w:rsidTr="00882346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D626C" w:rsidRPr="0042006F" w:rsidTr="00882346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D626C" w:rsidRPr="0042006F" w:rsidTr="00882346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D626C">
              <w:rPr>
                <w:sz w:val="28"/>
                <w:szCs w:val="28"/>
              </w:rPr>
              <w:t>0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Ознаки навчальної дисципліни</w:t>
            </w:r>
          </w:p>
        </w:tc>
      </w:tr>
      <w:tr w:rsidR="005D626C" w:rsidRPr="0042006F" w:rsidTr="00882346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6C" w:rsidRPr="0042006F" w:rsidRDefault="005D626C" w:rsidP="0088234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6C" w:rsidRPr="0042006F" w:rsidRDefault="005D626C" w:rsidP="0088234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</w:t>
            </w:r>
          </w:p>
          <w:p w:rsidR="005D626C" w:rsidRPr="0042006F" w:rsidRDefault="005D626C" w:rsidP="0088234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Нормативний /</w:t>
            </w:r>
          </w:p>
          <w:p w:rsidR="005D626C" w:rsidRPr="0042006F" w:rsidRDefault="005D626C" w:rsidP="0088234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вибірковий</w:t>
            </w:r>
          </w:p>
        </w:tc>
      </w:tr>
      <w:tr w:rsidR="005D626C" w:rsidRPr="0042006F" w:rsidTr="00882346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Default="005D626C" w:rsidP="00882346">
            <w:pPr>
              <w:jc w:val="center"/>
              <w:rPr>
                <w:bCs/>
                <w:sz w:val="28"/>
                <w:szCs w:val="28"/>
              </w:rPr>
            </w:pPr>
            <w:r w:rsidRPr="0042006F">
              <w:rPr>
                <w:bCs/>
                <w:sz w:val="28"/>
                <w:szCs w:val="28"/>
              </w:rPr>
              <w:t>081 Право</w:t>
            </w:r>
          </w:p>
          <w:p w:rsidR="005D626C" w:rsidRPr="0042006F" w:rsidRDefault="005D626C" w:rsidP="008823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ОПП «Міжнародне та європейське право»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</w:t>
            </w:r>
            <w:r w:rsidRPr="0042006F">
              <w:rPr>
                <w:sz w:val="28"/>
                <w:szCs w:val="28"/>
              </w:rPr>
              <w:t>ий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Тематика навчальної дисципліни</w:t>
            </w:r>
          </w:p>
        </w:tc>
      </w:tr>
      <w:tr w:rsidR="005D626C" w:rsidRPr="0042006F" w:rsidTr="00882346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кількість год.</w:t>
            </w:r>
          </w:p>
        </w:tc>
      </w:tr>
      <w:tr w:rsidR="005D626C" w:rsidRPr="0042006F" w:rsidTr="00882346"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6C" w:rsidRPr="0042006F" w:rsidRDefault="005D626C" w:rsidP="0088234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сам. роб.</w:t>
            </w:r>
          </w:p>
        </w:tc>
      </w:tr>
      <w:tr w:rsidR="005D626C" w:rsidRPr="0042006F" w:rsidTr="00882346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a4"/>
              <w:ind w:left="-1" w:right="-43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Тема 1. </w:t>
            </w:r>
            <w:r>
              <w:rPr>
                <w:sz w:val="28"/>
                <w:szCs w:val="28"/>
              </w:rPr>
              <w:t>Становлення, розвиток та зміст конституційного права Європейського Союзу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D626C" w:rsidRPr="0042006F" w:rsidTr="00882346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a4"/>
              <w:spacing w:after="0"/>
              <w:ind w:left="0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Тема 2. </w:t>
            </w:r>
            <w:r w:rsidRPr="00B47F6A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звиток інституційної структури Європейського С</w:t>
            </w:r>
            <w:r w:rsidRPr="00B47F6A">
              <w:rPr>
                <w:sz w:val="28"/>
                <w:szCs w:val="28"/>
              </w:rPr>
              <w:t>оюзу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D626C" w:rsidRPr="0042006F" w:rsidTr="00882346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Тема 3. </w:t>
            </w:r>
            <w:r w:rsidRPr="00B47F6A">
              <w:rPr>
                <w:sz w:val="28"/>
                <w:szCs w:val="28"/>
              </w:rPr>
              <w:t>Основні інститути ЄС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D626C" w:rsidRPr="0042006F" w:rsidTr="00882346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Тема 4. </w:t>
            </w:r>
            <w:r>
              <w:rPr>
                <w:sz w:val="28"/>
                <w:szCs w:val="28"/>
              </w:rPr>
              <w:t>К</w:t>
            </w:r>
            <w:r w:rsidRPr="00B47F6A">
              <w:rPr>
                <w:sz w:val="28"/>
                <w:szCs w:val="28"/>
              </w:rPr>
              <w:t xml:space="preserve">онсультативні, фінансові та </w:t>
            </w:r>
            <w:proofErr w:type="spellStart"/>
            <w:r w:rsidRPr="00B47F6A">
              <w:rPr>
                <w:sz w:val="28"/>
                <w:szCs w:val="28"/>
              </w:rPr>
              <w:t>міжінституційні</w:t>
            </w:r>
            <w:proofErr w:type="spellEnd"/>
            <w:r w:rsidRPr="00B47F6A">
              <w:rPr>
                <w:sz w:val="28"/>
                <w:szCs w:val="28"/>
              </w:rPr>
              <w:t xml:space="preserve"> органи ЄС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D626C" w:rsidRPr="0042006F" w:rsidTr="00882346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lastRenderedPageBreak/>
              <w:t xml:space="preserve">Тема 5. </w:t>
            </w:r>
            <w:r>
              <w:rPr>
                <w:sz w:val="28"/>
                <w:szCs w:val="28"/>
              </w:rPr>
              <w:t>А</w:t>
            </w:r>
            <w:r w:rsidRPr="00B47F6A">
              <w:rPr>
                <w:sz w:val="28"/>
                <w:szCs w:val="28"/>
              </w:rPr>
              <w:t>гентства та інші органи ЄС</w:t>
            </w:r>
            <w:r>
              <w:rPr>
                <w:sz w:val="28"/>
                <w:szCs w:val="28"/>
              </w:rPr>
              <w:t xml:space="preserve"> </w:t>
            </w:r>
          </w:p>
          <w:p w:rsidR="005D626C" w:rsidRPr="0042006F" w:rsidRDefault="005D626C" w:rsidP="0088234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D626C" w:rsidRPr="0042006F" w:rsidTr="00882346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right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ЗАГ.: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0F173A" w:rsidP="008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D626C">
              <w:rPr>
                <w:sz w:val="28"/>
                <w:szCs w:val="28"/>
              </w:rPr>
              <w:t>0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6. Система оцінювання навчальної дисципліни</w:t>
            </w:r>
          </w:p>
        </w:tc>
      </w:tr>
      <w:tr w:rsidR="005D626C" w:rsidRPr="0042006F" w:rsidTr="00882346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i/>
                <w:iCs/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</w:t>
            </w:r>
            <w:r>
              <w:rPr>
                <w:sz w:val="28"/>
                <w:szCs w:val="28"/>
              </w:rPr>
              <w:t>зі змінами</w:t>
            </w:r>
            <w:r w:rsidRPr="0042006F">
              <w:rPr>
                <w:sz w:val="28"/>
                <w:szCs w:val="28"/>
              </w:rPr>
              <w:t xml:space="preserve"> – </w:t>
            </w:r>
            <w:r w:rsidRPr="0042006F">
              <w:rPr>
                <w:i/>
                <w:iCs/>
                <w:sz w:val="28"/>
                <w:szCs w:val="28"/>
              </w:rPr>
              <w:t>текст розміщений на інформаційному стенді та сайті Інституту</w:t>
            </w:r>
          </w:p>
          <w:p w:rsidR="005D626C" w:rsidRPr="0042006F" w:rsidRDefault="00A35C42" w:rsidP="00882346">
            <w:pPr>
              <w:ind w:firstLine="185"/>
              <w:jc w:val="both"/>
              <w:rPr>
                <w:sz w:val="28"/>
                <w:szCs w:val="28"/>
              </w:rPr>
            </w:pPr>
            <w:hyperlink r:id="rId8" w:history="1">
              <w:r w:rsidR="005D626C" w:rsidRPr="0042006F">
                <w:rPr>
                  <w:rStyle w:val="a3"/>
                  <w:i/>
                  <w:iCs/>
                  <w:sz w:val="28"/>
                  <w:szCs w:val="28"/>
                </w:rPr>
                <w:t>https://law.pnu.edu.ua/%d0%bd%d0%be%d1%80%d0%bc%d0%b0%d1%82%d0%b8%d0%b2%d0%bd%d1%96-%d1%82%d0%b0-%d0%bb%d0%be%d0%ba%d0%b0%d0%bb%d1%8c%d0%bd%d1%96-%d0%b0%d0%ba%d1%82%d0%b8/</w:t>
              </w:r>
            </w:hyperlink>
          </w:p>
        </w:tc>
      </w:tr>
      <w:tr w:rsidR="005D626C" w:rsidRPr="0042006F" w:rsidTr="00882346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Вимоги до письмових робіт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ind w:firstLine="310"/>
              <w:jc w:val="both"/>
              <w:rPr>
                <w:sz w:val="28"/>
                <w:szCs w:val="28"/>
              </w:rPr>
            </w:pP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 xml:space="preserve">Планується виконання студентами обов’язкових </w:t>
            </w:r>
            <w:r w:rsidR="000F173A">
              <w:rPr>
                <w:rFonts w:eastAsia="TimesNewRomanPSMT"/>
                <w:sz w:val="28"/>
                <w:szCs w:val="28"/>
                <w:lang w:eastAsia="en-US"/>
              </w:rPr>
              <w:t xml:space="preserve">домашніх контрольних </w:t>
            </w:r>
            <w:r w:rsidR="00357F06">
              <w:rPr>
                <w:rFonts w:eastAsia="TimesNewRomanPSMT"/>
                <w:sz w:val="28"/>
                <w:szCs w:val="28"/>
                <w:lang w:eastAsia="en-US"/>
              </w:rPr>
              <w:t>робіт,</w:t>
            </w: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обов’язкової письмової залікової роботи (до 5</w:t>
            </w: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 xml:space="preserve">0 балів), письмових тестових завдань за темами, винесеними на самостійне опрацювання (перелік міститься в </w:t>
            </w:r>
            <w:r w:rsidRPr="0042006F">
              <w:rPr>
                <w:sz w:val="28"/>
                <w:szCs w:val="28"/>
              </w:rPr>
              <w:t>Методичних вказівках і завданнях для підготовки до семінарських (практичних) занять</w:t>
            </w: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>), письмових експрес-опитувань на семінарських заняттях тощо, а також додаткових письмо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вих індивідуальних завдань, наук</w:t>
            </w: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 xml:space="preserve">ових робіт (за вибором студента) </w:t>
            </w:r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Письмові роботи можуть виконуватись:</w:t>
            </w:r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- під час практичних занять (оцінка виставляється у графу практичного заняття),</w:t>
            </w:r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- написання </w:t>
            </w:r>
            <w:r>
              <w:rPr>
                <w:sz w:val="28"/>
                <w:szCs w:val="28"/>
              </w:rPr>
              <w:t xml:space="preserve">наукової </w:t>
            </w:r>
            <w:r w:rsidRPr="0042006F">
              <w:rPr>
                <w:sz w:val="28"/>
                <w:szCs w:val="28"/>
              </w:rPr>
              <w:t xml:space="preserve">роботи (вимоги уніфіковані та розміщені на сайті інституту </w:t>
            </w:r>
            <w:hyperlink r:id="rId9" w:history="1">
              <w:r w:rsidRPr="0042006F">
                <w:rPr>
                  <w:rStyle w:val="a3"/>
                  <w:sz w:val="28"/>
                  <w:szCs w:val="28"/>
                </w:rPr>
                <w:t>https://law.pnu.edu.ua/%d0%bd%d0%be%d1%80%d0%bc%d0%b0%d1%82%d0%b8%d0%b2%d0%bd%d1%96-%d1%82%d0%b0-%d0%bb%d0%be%d0%ba%d0%b0%d0%bb%d1%8c%d0%bd%d1%96-%d0%b0%d0%ba%d1%82%d0%b8/</w:t>
              </w:r>
            </w:hyperlink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- виконання індивідуальних завдань для додаткових балів.</w:t>
            </w:r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Індивідуальні завдання оцінюються до 5 балів. Форми: реферат (есе), інформаційне повідомлення</w:t>
            </w:r>
            <w:r>
              <w:rPr>
                <w:sz w:val="28"/>
                <w:szCs w:val="28"/>
              </w:rPr>
              <w:t xml:space="preserve">. </w:t>
            </w:r>
            <w:r w:rsidRPr="0042006F">
              <w:rPr>
                <w:sz w:val="28"/>
                <w:szCs w:val="28"/>
              </w:rPr>
              <w:t xml:space="preserve">Оформлення індивідуальної роботи оцінюється від 1 до 3-х балів; </w:t>
            </w:r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Захист роботи оцінюється в 1 або 2 бали.</w:t>
            </w:r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Отже максимальна кількість балів (оформлення та захист) – 5 балів.</w:t>
            </w:r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Індивідуальне завдання є комплексним, логічним, аналітичним дослідженням окремого питання, яке студент пише самостійно. </w:t>
            </w:r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lastRenderedPageBreak/>
              <w:t>Реферат</w:t>
            </w:r>
            <w:r w:rsidRPr="0042006F">
              <w:rPr>
                <w:sz w:val="28"/>
                <w:szCs w:val="28"/>
              </w:rPr>
              <w:t xml:space="preserve"> оформляється обсягом від 6 до 10 сторінок, </w:t>
            </w:r>
            <w:r w:rsidRPr="0042006F">
              <w:rPr>
                <w:b/>
                <w:sz w:val="28"/>
                <w:szCs w:val="28"/>
              </w:rPr>
              <w:t>есе</w:t>
            </w:r>
            <w:r w:rsidRPr="0042006F">
              <w:rPr>
                <w:sz w:val="28"/>
                <w:szCs w:val="28"/>
              </w:rPr>
              <w:t xml:space="preserve"> обсягом до 5 сторінок. Зазначаються структурні частини: вступ, план, основний текст (зміст питань), висновки, список використаних джерел. Реферати (есе) пишуть на основі обраних з переліку тем індивідуальних завдань, які оновлюються щороку та розміщені на кафедрі і кафедральному сайті </w:t>
            </w:r>
            <w:hyperlink r:id="rId10" w:history="1">
              <w:r w:rsidRPr="0042006F">
                <w:rPr>
                  <w:rStyle w:val="a3"/>
                  <w:sz w:val="28"/>
                  <w:szCs w:val="28"/>
                </w:rPr>
                <w:t>https://kkmtap.pnu.edu.ua/%d1%82%d0%b5%d0%bc%d0%b0%d1%82%d0%b8%d0%ba%d0%b0-%d0%ba%d1%83%d1%80%d1%81%d0%be%d0%b2%d0%b8%d1%85-%d1%82%d0%b0-%d0%b4%d0%b8%d0%bf%d0%bb%d0%be%d0%bc%d0%bd%d0%b8%d1%85-%d1%80%d0%be%d0%b1%d1%96%d1%82/</w:t>
              </w:r>
            </w:hyperlink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Інформаційне повідомлення</w:t>
            </w:r>
            <w:r w:rsidRPr="0042006F">
              <w:rPr>
                <w:sz w:val="28"/>
                <w:szCs w:val="28"/>
              </w:rPr>
              <w:t xml:space="preserve"> повинно містити опис конкретної події, яка мала місце в суспільно-політичному житті країни (на зразок новин по телебаченню). </w:t>
            </w:r>
            <w:r w:rsidRPr="0042006F">
              <w:rPr>
                <w:sz w:val="28"/>
                <w:szCs w:val="28"/>
                <w:u w:val="single"/>
              </w:rPr>
              <w:t xml:space="preserve">Подію студент вибирає </w:t>
            </w:r>
            <w:r w:rsidRPr="0042006F">
              <w:rPr>
                <w:b/>
                <w:sz w:val="28"/>
                <w:szCs w:val="28"/>
                <w:u w:val="single"/>
              </w:rPr>
              <w:t>самостійно</w:t>
            </w:r>
            <w:r w:rsidRPr="0042006F">
              <w:rPr>
                <w:sz w:val="28"/>
                <w:szCs w:val="28"/>
              </w:rPr>
              <w:t>. Основна вимога: щоб подія стосувалась</w:t>
            </w:r>
            <w:r w:rsidR="00357F06">
              <w:rPr>
                <w:sz w:val="28"/>
                <w:szCs w:val="28"/>
              </w:rPr>
              <w:t xml:space="preserve"> конституційного та інституційного права ЄС</w:t>
            </w:r>
            <w:r w:rsidRPr="0042006F">
              <w:rPr>
                <w:sz w:val="28"/>
                <w:szCs w:val="28"/>
              </w:rPr>
              <w:t>.</w:t>
            </w:r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Повідомлення оформляється у письмовій формі (до 3-х листків А4) та озвучується на семінарському занятті (основні вимоги: актуальність та достовірність інформації, яка подається, змістовність та логічність викладу). Підготовлені матеріали подаються викладачу. </w:t>
            </w:r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Оформлення, актуальність, достовірність оцінюються викладачем від 1до 3-х балів. Виступ студента з повідомленням від 1 до 2-х балів. </w:t>
            </w:r>
          </w:p>
          <w:p w:rsidR="005D626C" w:rsidRPr="0042006F" w:rsidRDefault="005D626C" w:rsidP="00882346">
            <w:pPr>
              <w:ind w:firstLine="175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Отже максимальна кількість балів (оформлення та виступ) – 5 балів.</w:t>
            </w:r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</w:p>
        </w:tc>
      </w:tr>
      <w:tr w:rsidR="005D626C" w:rsidRPr="0042006F" w:rsidTr="00882346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i/>
                <w:iCs/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Оцінюються у за 4 </w:t>
            </w:r>
            <w:proofErr w:type="spellStart"/>
            <w:r w:rsidRPr="0042006F">
              <w:rPr>
                <w:sz w:val="28"/>
                <w:szCs w:val="28"/>
              </w:rPr>
              <w:t>рівневою</w:t>
            </w:r>
            <w:proofErr w:type="spellEnd"/>
            <w:r w:rsidRPr="0042006F">
              <w:rPr>
                <w:sz w:val="28"/>
                <w:szCs w:val="28"/>
              </w:rPr>
              <w:t xml:space="preserve"> шкалою (від 2 до 5). Сума отриманих оцінок за практичні завдання та самостійну роботу (крім оцінки «2») ділиться на загальну кількість оці</w:t>
            </w:r>
            <w:r>
              <w:rPr>
                <w:sz w:val="28"/>
                <w:szCs w:val="28"/>
              </w:rPr>
              <w:t>нок та множиться на коефіцієнт 9</w:t>
            </w:r>
            <w:r w:rsidRPr="0042006F">
              <w:rPr>
                <w:sz w:val="28"/>
                <w:szCs w:val="28"/>
              </w:rPr>
              <w:t xml:space="preserve"> – це бали за практичні заняття та самості</w:t>
            </w:r>
            <w:r>
              <w:rPr>
                <w:sz w:val="28"/>
                <w:szCs w:val="28"/>
              </w:rPr>
              <w:t>йну роботу студентів (максимум 4</w:t>
            </w:r>
            <w:r w:rsidRPr="0042006F">
              <w:rPr>
                <w:sz w:val="28"/>
                <w:szCs w:val="28"/>
              </w:rPr>
              <w:t xml:space="preserve">5 балів у кожному із семестрів). Детальніше оцінювання описано у   Положенні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</w:t>
            </w:r>
            <w:r w:rsidRPr="0042006F">
              <w:rPr>
                <w:i/>
                <w:iCs/>
                <w:sz w:val="28"/>
                <w:szCs w:val="28"/>
              </w:rPr>
              <w:t>текст розміщений на інформаційному стенді та сайті Інституту</w:t>
            </w:r>
          </w:p>
          <w:p w:rsidR="005D626C" w:rsidRPr="0042006F" w:rsidRDefault="00A35C42" w:rsidP="00882346">
            <w:pPr>
              <w:jc w:val="both"/>
              <w:rPr>
                <w:sz w:val="28"/>
                <w:szCs w:val="28"/>
              </w:rPr>
            </w:pPr>
            <w:hyperlink r:id="rId11" w:history="1">
              <w:r w:rsidR="005D626C" w:rsidRPr="0042006F">
                <w:rPr>
                  <w:rStyle w:val="a3"/>
                  <w:i/>
                  <w:iCs/>
                  <w:sz w:val="28"/>
                  <w:szCs w:val="28"/>
                </w:rPr>
                <w:t>https://law.pnu.edu.ua/%d0%bd%d0%be%d1%80%d0%bc%d0%b0%d1%82%d0%b8%d0%b2%d0%bd%d1%96-%d1%82%d0%b0-%d0%bb%d0%be%d0%ba%d0%b0%d0%bb%d1%8c%d0%bd%d1%96-%d0%b0%d0%ba%d1%82%d0%b8/</w:t>
              </w:r>
            </w:hyperlink>
          </w:p>
        </w:tc>
      </w:tr>
      <w:tr w:rsidR="005D626C" w:rsidRPr="0042006F" w:rsidTr="00882346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Відсутність пропусків занять, написання контрольної роботи. </w:t>
            </w:r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Наявність підсумкової оцінки (в балах) за практичні заняття, самостійну роботу, контрольну роботу, індивідуальні завдання (максимум 50 балів).</w:t>
            </w:r>
          </w:p>
          <w:p w:rsidR="005D626C" w:rsidRPr="0042006F" w:rsidRDefault="005D626C" w:rsidP="00882346">
            <w:pPr>
              <w:jc w:val="both"/>
              <w:rPr>
                <w:sz w:val="28"/>
                <w:szCs w:val="28"/>
              </w:rPr>
            </w:pPr>
          </w:p>
        </w:tc>
      </w:tr>
      <w:tr w:rsidR="005D626C" w:rsidRPr="0042006F" w:rsidTr="00882346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0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both"/>
              <w:rPr>
                <w:iCs/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 xml:space="preserve">Форма контролю: </w:t>
            </w:r>
            <w:r>
              <w:rPr>
                <w:sz w:val="28"/>
                <w:szCs w:val="28"/>
              </w:rPr>
              <w:t>залік у 7 семестрі</w:t>
            </w:r>
            <w:r w:rsidRPr="0042006F">
              <w:rPr>
                <w:sz w:val="28"/>
                <w:szCs w:val="28"/>
              </w:rPr>
              <w:t xml:space="preserve"> навчання (максимум 50 балів)</w:t>
            </w:r>
          </w:p>
          <w:p w:rsidR="005D626C" w:rsidRPr="0042006F" w:rsidRDefault="005D626C" w:rsidP="00882346">
            <w:pPr>
              <w:jc w:val="both"/>
              <w:rPr>
                <w:iCs/>
                <w:sz w:val="28"/>
                <w:szCs w:val="28"/>
              </w:rPr>
            </w:pPr>
            <w:r w:rsidRPr="0042006F">
              <w:rPr>
                <w:iCs/>
                <w:sz w:val="28"/>
                <w:szCs w:val="28"/>
              </w:rPr>
              <w:t>Форма здачі:</w:t>
            </w:r>
          </w:p>
          <w:p w:rsidR="005D626C" w:rsidRPr="0042006F" w:rsidRDefault="005D626C" w:rsidP="00882346">
            <w:pPr>
              <w:jc w:val="both"/>
              <w:rPr>
                <w:iCs/>
                <w:sz w:val="28"/>
                <w:szCs w:val="28"/>
              </w:rPr>
            </w:pPr>
            <w:r w:rsidRPr="0042006F">
              <w:rPr>
                <w:iCs/>
                <w:sz w:val="28"/>
                <w:szCs w:val="28"/>
              </w:rPr>
              <w:t>письмова – за  умов стаціонарного навчання</w:t>
            </w:r>
          </w:p>
          <w:p w:rsidR="005D626C" w:rsidRPr="0042006F" w:rsidRDefault="005D626C" w:rsidP="00882346">
            <w:pPr>
              <w:jc w:val="both"/>
              <w:rPr>
                <w:iCs/>
                <w:sz w:val="28"/>
                <w:szCs w:val="28"/>
              </w:rPr>
            </w:pPr>
            <w:r w:rsidRPr="0042006F">
              <w:rPr>
                <w:iCs/>
                <w:sz w:val="28"/>
                <w:szCs w:val="28"/>
              </w:rPr>
              <w:t xml:space="preserve">тестові завдання – за умов дистанційного навчання. </w:t>
            </w:r>
          </w:p>
          <w:p w:rsidR="005D626C" w:rsidRPr="0042006F" w:rsidRDefault="005D626C" w:rsidP="00882346">
            <w:pPr>
              <w:jc w:val="both"/>
              <w:rPr>
                <w:iCs/>
                <w:sz w:val="28"/>
                <w:szCs w:val="28"/>
              </w:rPr>
            </w:pPr>
            <w:r w:rsidRPr="0042006F">
              <w:rPr>
                <w:iCs/>
                <w:sz w:val="28"/>
                <w:szCs w:val="28"/>
              </w:rPr>
              <w:t xml:space="preserve">Структура білета: </w:t>
            </w:r>
          </w:p>
          <w:p w:rsidR="005D626C" w:rsidRPr="0042006F" w:rsidRDefault="005D626C" w:rsidP="00882346">
            <w:pPr>
              <w:jc w:val="both"/>
              <w:rPr>
                <w:iCs/>
                <w:sz w:val="28"/>
                <w:szCs w:val="28"/>
              </w:rPr>
            </w:pPr>
            <w:r w:rsidRPr="0042006F">
              <w:rPr>
                <w:iCs/>
                <w:sz w:val="28"/>
                <w:szCs w:val="28"/>
              </w:rPr>
              <w:t>При письмовій формі - за кожне завдання виставляється відповідна кількість балів, яка зазначена в  білеті, якщо відповідь на питання неповна – проставляється відповідна частина балів із зазначеної.</w:t>
            </w:r>
          </w:p>
          <w:p w:rsidR="005D626C" w:rsidRPr="0042006F" w:rsidRDefault="005D626C" w:rsidP="00882346">
            <w:pPr>
              <w:jc w:val="both"/>
              <w:rPr>
                <w:i/>
                <w:iCs/>
                <w:sz w:val="28"/>
                <w:szCs w:val="28"/>
              </w:rPr>
            </w:pPr>
            <w:r w:rsidRPr="0042006F">
              <w:rPr>
                <w:iCs/>
                <w:sz w:val="28"/>
                <w:szCs w:val="28"/>
              </w:rPr>
              <w:t>При тестовому контролі знань в системі дистанційного навчання правильна відповідь на тестове завдання передбачає відповідні бали, які зараховуються студенту автоматично.</w:t>
            </w:r>
            <w:r w:rsidRPr="0042006F">
              <w:rPr>
                <w:i/>
                <w:iCs/>
                <w:sz w:val="28"/>
                <w:szCs w:val="28"/>
              </w:rPr>
              <w:t xml:space="preserve">  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7. Політика навчальної дисципліни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pStyle w:val="Default"/>
              <w:ind w:firstLine="360"/>
              <w:jc w:val="both"/>
              <w:rPr>
                <w:rFonts w:eastAsia="TimesNewRomanPSMT"/>
                <w:sz w:val="28"/>
                <w:szCs w:val="28"/>
              </w:rPr>
            </w:pPr>
            <w:r w:rsidRPr="0042006F">
              <w:rPr>
                <w:rFonts w:eastAsia="TimesNewRomanPSMT"/>
                <w:sz w:val="28"/>
                <w:szCs w:val="28"/>
                <w:u w:val="single"/>
              </w:rPr>
              <w:t xml:space="preserve">Письмові роботи: </w:t>
            </w:r>
            <w:r w:rsidRPr="0042006F">
              <w:rPr>
                <w:rFonts w:eastAsia="TimesNewRomanPSMT"/>
                <w:sz w:val="28"/>
                <w:szCs w:val="28"/>
              </w:rPr>
              <w:t xml:space="preserve">очікується, що при написанні письмових робіт студенти мають проявити творче та аналітичне мислення, </w:t>
            </w:r>
            <w:r w:rsidRPr="0042006F">
              <w:rPr>
                <w:sz w:val="28"/>
                <w:szCs w:val="28"/>
              </w:rPr>
              <w:t xml:space="preserve"> вміння аналізу суспільних процесів в контексті аналізованої проблеми і демонструвати власне бачення шляхів її розв’язання, вміння проводити збір і інтегрований аналіз матеріалів з різних джерел із відповідними посиланнями на використані джерела для запобігання плагіату.</w:t>
            </w:r>
          </w:p>
          <w:p w:rsidR="005D626C" w:rsidRPr="0042006F" w:rsidRDefault="005D626C" w:rsidP="00882346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sz w:val="28"/>
                <w:szCs w:val="28"/>
                <w:u w:val="single"/>
                <w:lang w:eastAsia="en-US"/>
              </w:rPr>
            </w:pPr>
            <w:r w:rsidRPr="0042006F">
              <w:rPr>
                <w:rFonts w:eastAsia="TimesNewRomanPSMT"/>
                <w:sz w:val="28"/>
                <w:szCs w:val="28"/>
                <w:u w:val="single"/>
                <w:lang w:eastAsia="en-US"/>
              </w:rPr>
              <w:t>Академічна доброчесність:</w:t>
            </w: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 xml:space="preserve"> 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2006F">
              <w:rPr>
                <w:sz w:val="28"/>
                <w:szCs w:val="28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42006F">
                <w:rPr>
                  <w:rStyle w:val="a3"/>
                  <w:sz w:val="28"/>
                  <w:szCs w:val="28"/>
                </w:rPr>
                <w:t>https://pnu.edu.ua/положення-про-запобігання-плагіату/</w:t>
              </w:r>
            </w:hyperlink>
            <w:r w:rsidRPr="0042006F">
              <w:rPr>
                <w:sz w:val="28"/>
                <w:szCs w:val="28"/>
              </w:rPr>
              <w:t>.</w:t>
            </w:r>
          </w:p>
          <w:p w:rsidR="005D626C" w:rsidRPr="0042006F" w:rsidRDefault="005D626C" w:rsidP="00882346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sz w:val="28"/>
                <w:szCs w:val="28"/>
                <w:u w:val="single"/>
                <w:lang w:eastAsia="en-US"/>
              </w:rPr>
            </w:pPr>
            <w:r w:rsidRPr="0042006F">
              <w:rPr>
                <w:rFonts w:eastAsia="TimesNewRomanPSMT"/>
                <w:sz w:val="28"/>
                <w:szCs w:val="28"/>
                <w:u w:val="single"/>
                <w:lang w:eastAsia="en-US"/>
              </w:rPr>
              <w:t>Відвідування занять</w:t>
            </w:r>
          </w:p>
          <w:p w:rsidR="005D626C" w:rsidRPr="0042006F" w:rsidRDefault="005D626C" w:rsidP="00882346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>Відвідання занять є важливою складовою навчання. Загалом, всі студенти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повинні</w:t>
            </w: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 xml:space="preserve"> ві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двідувати лекції і практичні заняття з навчальної дисципліни</w:t>
            </w:r>
            <w:r w:rsidRPr="0042006F">
              <w:rPr>
                <w:rFonts w:eastAsia="TimesNewRomanPSMT"/>
                <w:sz w:val="28"/>
                <w:szCs w:val="28"/>
                <w:lang w:eastAsia="en-US"/>
              </w:rPr>
              <w:t xml:space="preserve">. </w:t>
            </w:r>
          </w:p>
          <w:p w:rsidR="005D626C" w:rsidRPr="0042006F" w:rsidRDefault="005D626C" w:rsidP="00882346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2006F">
              <w:rPr>
                <w:sz w:val="28"/>
                <w:szCs w:val="28"/>
              </w:rPr>
              <w:t xml:space="preserve">Пропуски семінарських (практичних) занять відпрацьовуються в обов’язковому порядку.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3" w:history="1">
              <w:r w:rsidRPr="0042006F">
                <w:rPr>
                  <w:rStyle w:val="a3"/>
                  <w:sz w:val="28"/>
                  <w:szCs w:val="28"/>
                </w:rPr>
                <w:t>https://law.pnu.edu.ua/організація-навчального-процесу/</w:t>
              </w:r>
            </w:hyperlink>
            <w:r w:rsidRPr="0042006F">
              <w:rPr>
                <w:sz w:val="28"/>
                <w:szCs w:val="28"/>
              </w:rPr>
              <w:t>).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42006F" w:rsidRDefault="005D626C" w:rsidP="00882346">
            <w:pPr>
              <w:jc w:val="center"/>
              <w:rPr>
                <w:b/>
                <w:sz w:val="28"/>
                <w:szCs w:val="28"/>
              </w:rPr>
            </w:pPr>
            <w:r w:rsidRPr="0042006F">
              <w:rPr>
                <w:b/>
                <w:sz w:val="28"/>
                <w:szCs w:val="28"/>
              </w:rPr>
              <w:t>8. Рекомендована література</w:t>
            </w:r>
          </w:p>
        </w:tc>
      </w:tr>
      <w:tr w:rsidR="005D626C" w:rsidRPr="0042006F" w:rsidTr="00882346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</w:rPr>
            </w:pPr>
            <w:bookmarkStart w:id="1" w:name="_GoBack"/>
            <w:r w:rsidRPr="007303E3">
              <w:rPr>
                <w:sz w:val="28"/>
                <w:szCs w:val="28"/>
              </w:rPr>
              <w:lastRenderedPageBreak/>
              <w:t xml:space="preserve">Енциклопедія державного управління : у 8 т. / </w:t>
            </w:r>
            <w:proofErr w:type="spellStart"/>
            <w:r w:rsidRPr="007303E3">
              <w:rPr>
                <w:sz w:val="28"/>
                <w:szCs w:val="28"/>
              </w:rPr>
              <w:t>Нац</w:t>
            </w:r>
            <w:proofErr w:type="spellEnd"/>
            <w:r w:rsidRPr="007303E3">
              <w:rPr>
                <w:sz w:val="28"/>
                <w:szCs w:val="28"/>
              </w:rPr>
              <w:t xml:space="preserve">. акад. </w:t>
            </w:r>
            <w:proofErr w:type="spellStart"/>
            <w:r w:rsidRPr="007303E3">
              <w:rPr>
                <w:sz w:val="28"/>
                <w:szCs w:val="28"/>
              </w:rPr>
              <w:t>держ</w:t>
            </w:r>
            <w:proofErr w:type="spellEnd"/>
            <w:r w:rsidRPr="007303E3">
              <w:rPr>
                <w:sz w:val="28"/>
                <w:szCs w:val="28"/>
              </w:rPr>
              <w:t xml:space="preserve">. </w:t>
            </w:r>
            <w:proofErr w:type="spellStart"/>
            <w:r w:rsidRPr="007303E3">
              <w:rPr>
                <w:sz w:val="28"/>
                <w:szCs w:val="28"/>
              </w:rPr>
              <w:t>упр</w:t>
            </w:r>
            <w:proofErr w:type="spellEnd"/>
            <w:r w:rsidRPr="007303E3">
              <w:rPr>
                <w:sz w:val="28"/>
                <w:szCs w:val="28"/>
              </w:rPr>
              <w:t xml:space="preserve">. при Президентові України ; наук.-ред. колегія : Ю. В. Ковбасюк (голова) та ін. – К. : НАДУ, 2011. – Т. 7 : Глобалізація та європейська інтеграція / наук.-ред. колегія : І. А. </w:t>
            </w:r>
            <w:proofErr w:type="spellStart"/>
            <w:r w:rsidRPr="007303E3">
              <w:rPr>
                <w:sz w:val="28"/>
                <w:szCs w:val="28"/>
              </w:rPr>
              <w:t>Грицяк</w:t>
            </w:r>
            <w:proofErr w:type="spellEnd"/>
            <w:r w:rsidRPr="007303E3">
              <w:rPr>
                <w:sz w:val="28"/>
                <w:szCs w:val="28"/>
              </w:rPr>
              <w:t xml:space="preserve"> (співголова), Ю. П. </w:t>
            </w:r>
            <w:proofErr w:type="spellStart"/>
            <w:r w:rsidRPr="007303E3">
              <w:rPr>
                <w:sz w:val="28"/>
                <w:szCs w:val="28"/>
              </w:rPr>
              <w:t>Сурмін</w:t>
            </w:r>
            <w:proofErr w:type="spellEnd"/>
            <w:r w:rsidRPr="007303E3">
              <w:rPr>
                <w:sz w:val="28"/>
                <w:szCs w:val="28"/>
              </w:rPr>
              <w:t xml:space="preserve"> (співголова) та ін. – 764 с.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</w:rPr>
            </w:pPr>
            <w:r w:rsidRPr="007303E3">
              <w:rPr>
                <w:sz w:val="28"/>
                <w:szCs w:val="28"/>
              </w:rPr>
              <w:t xml:space="preserve">Конституційні акти Європейського Союзу (в редакції Лісабонського договору) / пер. Г. </w:t>
            </w:r>
            <w:proofErr w:type="spellStart"/>
            <w:r w:rsidRPr="007303E3">
              <w:rPr>
                <w:sz w:val="28"/>
                <w:szCs w:val="28"/>
              </w:rPr>
              <w:t>Друзенка</w:t>
            </w:r>
            <w:proofErr w:type="spellEnd"/>
            <w:r w:rsidRPr="007303E3">
              <w:rPr>
                <w:sz w:val="28"/>
                <w:szCs w:val="28"/>
              </w:rPr>
              <w:t xml:space="preserve"> та С. </w:t>
            </w:r>
            <w:proofErr w:type="spellStart"/>
            <w:r w:rsidRPr="007303E3">
              <w:rPr>
                <w:sz w:val="28"/>
                <w:szCs w:val="28"/>
              </w:rPr>
              <w:t>Друзенко</w:t>
            </w:r>
            <w:proofErr w:type="spellEnd"/>
            <w:r w:rsidRPr="007303E3">
              <w:rPr>
                <w:sz w:val="28"/>
                <w:szCs w:val="28"/>
              </w:rPr>
              <w:t xml:space="preserve"> ; за </w:t>
            </w:r>
            <w:proofErr w:type="spellStart"/>
            <w:r w:rsidRPr="007303E3">
              <w:rPr>
                <w:sz w:val="28"/>
                <w:szCs w:val="28"/>
              </w:rPr>
              <w:t>заг</w:t>
            </w:r>
            <w:proofErr w:type="spellEnd"/>
            <w:r w:rsidRPr="007303E3">
              <w:rPr>
                <w:sz w:val="28"/>
                <w:szCs w:val="28"/>
              </w:rPr>
              <w:t xml:space="preserve">. ред. Г. </w:t>
            </w:r>
            <w:proofErr w:type="spellStart"/>
            <w:r w:rsidRPr="007303E3">
              <w:rPr>
                <w:sz w:val="28"/>
                <w:szCs w:val="28"/>
              </w:rPr>
              <w:t>Друзенка</w:t>
            </w:r>
            <w:proofErr w:type="spellEnd"/>
            <w:r w:rsidRPr="007303E3">
              <w:rPr>
                <w:sz w:val="28"/>
                <w:szCs w:val="28"/>
              </w:rPr>
              <w:t>. – К. : К.І.С.,2010.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</w:rPr>
            </w:pPr>
            <w:r w:rsidRPr="007303E3">
              <w:rPr>
                <w:sz w:val="28"/>
                <w:szCs w:val="28"/>
              </w:rPr>
              <w:t>Копійка В. В. Європейський Союз: історія і засади функціонування / В. В. Копійка, Т. І. Шинкаренко. – К. : Знання, 2009. – 751 с.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</w:rPr>
            </w:pPr>
            <w:r w:rsidRPr="007303E3">
              <w:rPr>
                <w:sz w:val="28"/>
                <w:szCs w:val="28"/>
              </w:rPr>
              <w:t>Мудрий Я. Словник-довідник термінів з європейської інтеграції / Я. Мудрий. – К. : Міленіум, 2009. – 588 с.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</w:rPr>
            </w:pPr>
            <w:proofErr w:type="spellStart"/>
            <w:r w:rsidRPr="007303E3">
              <w:rPr>
                <w:sz w:val="28"/>
                <w:szCs w:val="28"/>
              </w:rPr>
              <w:t>Рудік</w:t>
            </w:r>
            <w:proofErr w:type="spellEnd"/>
            <w:r w:rsidRPr="007303E3">
              <w:rPr>
                <w:sz w:val="28"/>
                <w:szCs w:val="28"/>
              </w:rPr>
              <w:t xml:space="preserve"> О. М. Вироблення політики та ухвалення рішень в ЄС : </w:t>
            </w:r>
            <w:proofErr w:type="spellStart"/>
            <w:r w:rsidRPr="007303E3">
              <w:rPr>
                <w:sz w:val="28"/>
                <w:szCs w:val="28"/>
              </w:rPr>
              <w:t>навч</w:t>
            </w:r>
            <w:proofErr w:type="spellEnd"/>
            <w:r w:rsidRPr="007303E3">
              <w:rPr>
                <w:sz w:val="28"/>
                <w:szCs w:val="28"/>
              </w:rPr>
              <w:t xml:space="preserve">. </w:t>
            </w:r>
            <w:proofErr w:type="spellStart"/>
            <w:r w:rsidRPr="007303E3">
              <w:rPr>
                <w:sz w:val="28"/>
                <w:szCs w:val="28"/>
              </w:rPr>
              <w:t>посіб</w:t>
            </w:r>
            <w:proofErr w:type="spellEnd"/>
            <w:r w:rsidRPr="007303E3">
              <w:rPr>
                <w:sz w:val="28"/>
                <w:szCs w:val="28"/>
              </w:rPr>
              <w:t xml:space="preserve">. / О. М. </w:t>
            </w:r>
            <w:proofErr w:type="spellStart"/>
            <w:r w:rsidRPr="007303E3">
              <w:rPr>
                <w:sz w:val="28"/>
                <w:szCs w:val="28"/>
              </w:rPr>
              <w:t>Рудік</w:t>
            </w:r>
            <w:proofErr w:type="spellEnd"/>
            <w:r w:rsidRPr="007303E3">
              <w:rPr>
                <w:sz w:val="28"/>
                <w:szCs w:val="28"/>
              </w:rPr>
              <w:t>. – К. : Міленіум, 2009. – 278 с.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</w:rPr>
            </w:pPr>
            <w:proofErr w:type="spellStart"/>
            <w:r w:rsidRPr="007303E3">
              <w:rPr>
                <w:sz w:val="28"/>
                <w:szCs w:val="28"/>
              </w:rPr>
              <w:t>Хікс</w:t>
            </w:r>
            <w:proofErr w:type="spellEnd"/>
            <w:r w:rsidRPr="007303E3">
              <w:rPr>
                <w:sz w:val="28"/>
                <w:szCs w:val="28"/>
              </w:rPr>
              <w:t xml:space="preserve"> С. Політична система Європейського Союзу : пер. з </w:t>
            </w:r>
            <w:proofErr w:type="spellStart"/>
            <w:r w:rsidRPr="007303E3">
              <w:rPr>
                <w:sz w:val="28"/>
                <w:szCs w:val="28"/>
              </w:rPr>
              <w:t>англ</w:t>
            </w:r>
            <w:proofErr w:type="spellEnd"/>
            <w:r w:rsidRPr="007303E3">
              <w:rPr>
                <w:sz w:val="28"/>
                <w:szCs w:val="28"/>
              </w:rPr>
              <w:t xml:space="preserve">. / С. </w:t>
            </w:r>
            <w:proofErr w:type="spellStart"/>
            <w:r w:rsidRPr="007303E3">
              <w:rPr>
                <w:sz w:val="28"/>
                <w:szCs w:val="28"/>
              </w:rPr>
              <w:t>Хікс</w:t>
            </w:r>
            <w:proofErr w:type="spellEnd"/>
            <w:r w:rsidRPr="007303E3">
              <w:rPr>
                <w:sz w:val="28"/>
                <w:szCs w:val="28"/>
              </w:rPr>
              <w:t>. – Х. : Магістр, 2008. – 378 с.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7303E3">
              <w:rPr>
                <w:sz w:val="28"/>
                <w:szCs w:val="28"/>
                <w:lang w:val="en-GB"/>
              </w:rPr>
              <w:t>Cini</w:t>
            </w:r>
            <w:proofErr w:type="spellEnd"/>
            <w:r w:rsidRPr="007303E3">
              <w:rPr>
                <w:sz w:val="28"/>
                <w:szCs w:val="28"/>
                <w:lang w:val="en-GB"/>
              </w:rPr>
              <w:t xml:space="preserve"> M. European Union Politics / M. </w:t>
            </w:r>
            <w:proofErr w:type="spellStart"/>
            <w:r w:rsidRPr="007303E3">
              <w:rPr>
                <w:sz w:val="28"/>
                <w:szCs w:val="28"/>
                <w:lang w:val="en-GB"/>
              </w:rPr>
              <w:t>Cini</w:t>
            </w:r>
            <w:proofErr w:type="spellEnd"/>
            <w:r w:rsidRPr="007303E3">
              <w:rPr>
                <w:sz w:val="28"/>
                <w:szCs w:val="28"/>
                <w:lang w:val="en-GB"/>
              </w:rPr>
              <w:t>, N. Perez-</w:t>
            </w:r>
            <w:proofErr w:type="spellStart"/>
            <w:r w:rsidRPr="007303E3">
              <w:rPr>
                <w:sz w:val="28"/>
                <w:szCs w:val="28"/>
                <w:lang w:val="en-GB"/>
              </w:rPr>
              <w:t>Solorzano</w:t>
            </w:r>
            <w:proofErr w:type="spellEnd"/>
            <w:r w:rsidRPr="007303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303E3">
              <w:rPr>
                <w:sz w:val="28"/>
                <w:szCs w:val="28"/>
                <w:lang w:val="en-GB"/>
              </w:rPr>
              <w:t>Borragan</w:t>
            </w:r>
            <w:proofErr w:type="spellEnd"/>
            <w:r w:rsidRPr="007303E3">
              <w:rPr>
                <w:sz w:val="28"/>
                <w:szCs w:val="28"/>
                <w:lang w:val="en-GB"/>
              </w:rPr>
              <w:t>. – Oxford: Oxford University Press, 2016. – 471 p.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  <w:lang w:val="en-GB"/>
              </w:rPr>
            </w:pPr>
            <w:r w:rsidRPr="007303E3">
              <w:rPr>
                <w:sz w:val="28"/>
                <w:szCs w:val="28"/>
                <w:lang w:val="en-GB"/>
              </w:rPr>
              <w:t xml:space="preserve">Ever Closer Union: Report of the hearing held on 15th 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April,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2016. – London: European Institute </w:t>
            </w:r>
            <w:proofErr w:type="spellStart"/>
            <w:r w:rsidRPr="007303E3">
              <w:rPr>
                <w:sz w:val="28"/>
                <w:szCs w:val="28"/>
                <w:lang w:val="en-GB"/>
              </w:rPr>
              <w:t>Cowdray</w:t>
            </w:r>
            <w:proofErr w:type="spellEnd"/>
            <w:r w:rsidRPr="007303E3">
              <w:rPr>
                <w:sz w:val="28"/>
                <w:szCs w:val="28"/>
                <w:lang w:val="en-GB"/>
              </w:rPr>
              <w:t xml:space="preserve"> House London School of Economics and Political Science, 2016. – 20 p.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7303E3">
              <w:rPr>
                <w:sz w:val="28"/>
                <w:szCs w:val="28"/>
                <w:lang w:val="en-GB"/>
              </w:rPr>
              <w:t>Hix</w:t>
            </w:r>
            <w:proofErr w:type="spellEnd"/>
            <w:r w:rsidRPr="007303E3">
              <w:rPr>
                <w:sz w:val="28"/>
                <w:szCs w:val="28"/>
                <w:lang w:val="en-GB"/>
              </w:rPr>
              <w:t xml:space="preserve"> S. The Political System of the European Union / S. </w:t>
            </w:r>
            <w:proofErr w:type="spellStart"/>
            <w:r w:rsidRPr="007303E3">
              <w:rPr>
                <w:sz w:val="28"/>
                <w:szCs w:val="28"/>
                <w:lang w:val="en-GB"/>
              </w:rPr>
              <w:t>Hix</w:t>
            </w:r>
            <w:proofErr w:type="spellEnd"/>
            <w:r w:rsidRPr="007303E3">
              <w:rPr>
                <w:sz w:val="28"/>
                <w:szCs w:val="28"/>
                <w:lang w:val="en-GB"/>
              </w:rPr>
              <w:t xml:space="preserve">. – 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London :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Palgrave Macmillan ; 3rd edition </w:t>
            </w:r>
            <w:proofErr w:type="spellStart"/>
            <w:r w:rsidRPr="007303E3">
              <w:rPr>
                <w:sz w:val="28"/>
                <w:szCs w:val="28"/>
                <w:lang w:val="en-GB"/>
              </w:rPr>
              <w:t>edition</w:t>
            </w:r>
            <w:proofErr w:type="spellEnd"/>
            <w:r w:rsidRPr="007303E3">
              <w:rPr>
                <w:sz w:val="28"/>
                <w:szCs w:val="28"/>
                <w:lang w:val="en-GB"/>
              </w:rPr>
              <w:t>, 2011. – 448 p.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  <w:lang w:val="en-GB"/>
              </w:rPr>
            </w:pPr>
            <w:r w:rsidRPr="007303E3">
              <w:rPr>
                <w:sz w:val="28"/>
                <w:szCs w:val="28"/>
                <w:lang w:val="en-GB"/>
              </w:rPr>
              <w:t xml:space="preserve">How the European Union 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works: Your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guide to the EU institutions. –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Luxembourg :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Publications Office of the European Union, 2012. – 40 p.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  <w:lang w:val="en-GB"/>
              </w:rPr>
            </w:pPr>
            <w:r w:rsidRPr="007303E3">
              <w:rPr>
                <w:sz w:val="28"/>
                <w:szCs w:val="28"/>
                <w:lang w:val="en-GB"/>
              </w:rPr>
              <w:t xml:space="preserve">Jacobs F. The European Parliament / F. 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Jacobs ,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D. Neville , R. Corbett. – 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London :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John Harper Publishing, 2016. – 512 p.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  <w:lang w:val="en-GB"/>
              </w:rPr>
            </w:pPr>
            <w:r w:rsidRPr="007303E3">
              <w:rPr>
                <w:sz w:val="28"/>
                <w:szCs w:val="28"/>
                <w:lang w:val="en-GB"/>
              </w:rPr>
              <w:t xml:space="preserve">McCormick J. Understanding the European 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Union :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A Concise Introduction /J. McCormick. – 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London :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MacMillan Education UK, 2017. – 252 p.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  <w:lang w:val="en-GB"/>
              </w:rPr>
            </w:pPr>
            <w:r w:rsidRPr="007303E3">
              <w:rPr>
                <w:sz w:val="28"/>
                <w:szCs w:val="28"/>
                <w:lang w:val="en-GB"/>
              </w:rPr>
              <w:t>Nugent N. The Government and Politics of the European Union (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8th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 xml:space="preserve"> Edition) / N. Nugent. – London: Red Globe Press, 2017. – 512 p.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ind w:left="0" w:firstLine="596"/>
              <w:jc w:val="both"/>
              <w:rPr>
                <w:sz w:val="28"/>
                <w:szCs w:val="28"/>
                <w:lang w:val="en-GB"/>
              </w:rPr>
            </w:pPr>
            <w:r w:rsidRPr="007303E3">
              <w:rPr>
                <w:sz w:val="28"/>
                <w:szCs w:val="28"/>
                <w:lang w:val="en-GB"/>
              </w:rPr>
              <w:t xml:space="preserve">Policy-Making in the European Union / </w:t>
            </w:r>
            <w:proofErr w:type="gramStart"/>
            <w:r w:rsidRPr="007303E3">
              <w:rPr>
                <w:sz w:val="28"/>
                <w:szCs w:val="28"/>
                <w:lang w:val="en-GB"/>
              </w:rPr>
              <w:t>ed</w:t>
            </w:r>
            <w:proofErr w:type="gramEnd"/>
            <w:r w:rsidRPr="007303E3">
              <w:rPr>
                <w:sz w:val="28"/>
                <w:szCs w:val="28"/>
                <w:lang w:val="en-GB"/>
              </w:rPr>
              <w:t>. By H. Wallace. – Oxford: Oxford University Press, 2010. – 640 p.</w:t>
            </w:r>
          </w:p>
          <w:p w:rsidR="005D626C" w:rsidRPr="007303E3" w:rsidRDefault="005D626C" w:rsidP="00A35C42">
            <w:pPr>
              <w:numPr>
                <w:ilvl w:val="0"/>
                <w:numId w:val="2"/>
              </w:numPr>
              <w:tabs>
                <w:tab w:val="clear" w:pos="1515"/>
                <w:tab w:val="num" w:pos="600"/>
                <w:tab w:val="left" w:pos="993"/>
              </w:tabs>
              <w:autoSpaceDE w:val="0"/>
              <w:autoSpaceDN w:val="0"/>
              <w:adjustRightInd w:val="0"/>
              <w:ind w:left="26" w:firstLine="596"/>
              <w:jc w:val="both"/>
              <w:rPr>
                <w:sz w:val="28"/>
                <w:szCs w:val="28"/>
                <w:lang w:val="en-GB"/>
              </w:rPr>
            </w:pPr>
            <w:r w:rsidRPr="007303E3">
              <w:rPr>
                <w:sz w:val="28"/>
                <w:szCs w:val="28"/>
                <w:lang w:val="en-GB"/>
              </w:rPr>
              <w:t xml:space="preserve">The European Union: What it is and what it does. – Luxembourg: Publications Office of the European Union, 2018. – 60 p. </w:t>
            </w:r>
            <w:bookmarkEnd w:id="1"/>
          </w:p>
          <w:p w:rsidR="005D626C" w:rsidRPr="007303E3" w:rsidRDefault="005D626C" w:rsidP="00882346">
            <w:pPr>
              <w:tabs>
                <w:tab w:val="num" w:pos="60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03E3">
              <w:rPr>
                <w:sz w:val="28"/>
                <w:szCs w:val="28"/>
              </w:rPr>
              <w:cr/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5D626C" w:rsidRDefault="005D626C" w:rsidP="005D626C">
            <w:pPr>
              <w:numPr>
                <w:ilvl w:val="0"/>
                <w:numId w:val="3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Книш В. В</w:t>
            </w:r>
            <w:r w:rsidRPr="0042006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Конституційне та інституційне право ЄС</w:t>
            </w:r>
            <w:r w:rsidRPr="0042006F">
              <w:rPr>
                <w:sz w:val="28"/>
                <w:szCs w:val="28"/>
              </w:rPr>
              <w:t xml:space="preserve">: методичні вказівки для практичних занять </w:t>
            </w:r>
            <w:r w:rsidRPr="0042006F">
              <w:rPr>
                <w:i/>
                <w:sz w:val="28"/>
                <w:szCs w:val="28"/>
              </w:rPr>
              <w:t xml:space="preserve">(студентів </w:t>
            </w:r>
            <w:r w:rsidR="007B6C81">
              <w:rPr>
                <w:i/>
                <w:sz w:val="28"/>
                <w:szCs w:val="28"/>
              </w:rPr>
              <w:t>заочн</w:t>
            </w:r>
            <w:r w:rsidRPr="0042006F">
              <w:rPr>
                <w:i/>
                <w:sz w:val="28"/>
                <w:szCs w:val="28"/>
              </w:rPr>
              <w:t>ої форми навчання)</w:t>
            </w:r>
            <w:r w:rsidRPr="0042006F">
              <w:rPr>
                <w:sz w:val="28"/>
                <w:szCs w:val="28"/>
              </w:rPr>
              <w:t xml:space="preserve">. Івано-Франківськ: навчально-науковий юридичний інститут Прикарпатського національного університету імені Василя Стефаника, 2022. </w:t>
            </w:r>
          </w:p>
          <w:p w:rsidR="005D626C" w:rsidRDefault="005D626C" w:rsidP="00882346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Розміщено на сайті кафедри:</w:t>
            </w:r>
          </w:p>
          <w:p w:rsidR="005D626C" w:rsidRDefault="00A35C42" w:rsidP="00882346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/>
              <w:jc w:val="both"/>
              <w:rPr>
                <w:sz w:val="28"/>
                <w:szCs w:val="28"/>
              </w:rPr>
            </w:pPr>
            <w:hyperlink r:id="rId14" w:history="1">
              <w:r w:rsidR="005D626C" w:rsidRPr="0016412C">
                <w:rPr>
                  <w:rStyle w:val="a3"/>
                  <w:sz w:val="28"/>
                  <w:szCs w:val="28"/>
                </w:rPr>
                <w:t>https://kkmtap.pnu.edu.ua/%d0%b4%d0%b5%d0%bd%d0%bd%d0%b0-%d0%bf%d1%80%d0%b0%d0%ba%d1%82-%d1%80%d0%be%d0%b1-%d0%b1%d0%b0%d0%ba%d0%b0%d0%bb%d0%b0%d0%b2%d1%80/</w:t>
              </w:r>
            </w:hyperlink>
          </w:p>
          <w:p w:rsidR="005D626C" w:rsidRDefault="005D626C" w:rsidP="0088234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42006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Книш В. В</w:t>
            </w:r>
            <w:r w:rsidRPr="0042006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Конституційне та інституційне право ЄС</w:t>
            </w:r>
            <w:r w:rsidRPr="0042006F">
              <w:rPr>
                <w:sz w:val="28"/>
                <w:szCs w:val="28"/>
              </w:rPr>
              <w:t xml:space="preserve">: методичні вказівки для самостійної роботи </w:t>
            </w:r>
            <w:r w:rsidR="007B6C81">
              <w:rPr>
                <w:i/>
                <w:sz w:val="28"/>
                <w:szCs w:val="28"/>
              </w:rPr>
              <w:t>(студентів заоч</w:t>
            </w:r>
            <w:r w:rsidRPr="0042006F">
              <w:rPr>
                <w:i/>
                <w:sz w:val="28"/>
                <w:szCs w:val="28"/>
              </w:rPr>
              <w:t>ної форми навчання)</w:t>
            </w:r>
            <w:r w:rsidRPr="0042006F">
              <w:rPr>
                <w:sz w:val="28"/>
                <w:szCs w:val="28"/>
              </w:rPr>
              <w:t xml:space="preserve">. Івано-Франківськ: навчально-науковий юридичний інститут Прикарпатського національного університету імені Василя Стефаника, 2022. </w:t>
            </w:r>
          </w:p>
          <w:p w:rsidR="005D626C" w:rsidRDefault="005D626C" w:rsidP="00882346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Розміщено на сайті кафедри:</w:t>
            </w:r>
          </w:p>
          <w:p w:rsidR="005D626C" w:rsidRPr="00BA702C" w:rsidRDefault="00A35C42" w:rsidP="0088234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5" w:history="1">
              <w:r w:rsidR="005D626C" w:rsidRPr="0016412C">
                <w:rPr>
                  <w:rStyle w:val="a3"/>
                  <w:sz w:val="28"/>
                  <w:szCs w:val="28"/>
                </w:rPr>
                <w:t>https://kkmtap.pnu.edu.ua/%d0%b4%d0%b5%d0%bd%d0%bd%d0%b0-%d1%81%d0%b0%d0%bc-%d1%80%d0%be%d0%b1-%d0%b1%d0%b0%d0%ba%d0%b0%d0%bb%d0%b0%d0%b2%d1%80/</w:t>
              </w:r>
            </w:hyperlink>
          </w:p>
        </w:tc>
      </w:tr>
    </w:tbl>
    <w:p w:rsidR="005D626C" w:rsidRPr="0042006F" w:rsidRDefault="005D626C" w:rsidP="005D626C">
      <w:pPr>
        <w:jc w:val="both"/>
        <w:rPr>
          <w:sz w:val="28"/>
          <w:szCs w:val="28"/>
        </w:rPr>
      </w:pPr>
      <w:r w:rsidRPr="0042006F">
        <w:rPr>
          <w:sz w:val="28"/>
          <w:szCs w:val="28"/>
        </w:rPr>
        <w:lastRenderedPageBreak/>
        <w:br w:type="textWrapping" w:clear="all"/>
      </w:r>
    </w:p>
    <w:p w:rsidR="005D626C" w:rsidRPr="0042006F" w:rsidRDefault="005D626C" w:rsidP="005D626C">
      <w:pPr>
        <w:jc w:val="both"/>
        <w:rPr>
          <w:sz w:val="28"/>
          <w:szCs w:val="28"/>
        </w:rPr>
      </w:pPr>
      <w:r w:rsidRPr="0042006F">
        <w:rPr>
          <w:sz w:val="28"/>
          <w:szCs w:val="28"/>
        </w:rPr>
        <w:t xml:space="preserve">Викладач: </w:t>
      </w:r>
    </w:p>
    <w:p w:rsidR="005D626C" w:rsidRPr="0042006F" w:rsidRDefault="005D626C" w:rsidP="005D626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Віталій КНИШ</w:t>
      </w:r>
    </w:p>
    <w:p w:rsidR="005D626C" w:rsidRPr="0042006F" w:rsidRDefault="005D626C" w:rsidP="005D626C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професор</w:t>
      </w:r>
      <w:r w:rsidRPr="0042006F">
        <w:rPr>
          <w:sz w:val="28"/>
          <w:szCs w:val="28"/>
        </w:rPr>
        <w:t xml:space="preserve"> кафедри конституційного, міжнародного та адміністративного права навчально-наукового юридичного інституту Прикарпатського національного університету імені Василя Стефаника</w:t>
      </w:r>
    </w:p>
    <w:p w:rsidR="005D626C" w:rsidRPr="0042006F" w:rsidRDefault="005D626C" w:rsidP="005D626C">
      <w:pPr>
        <w:jc w:val="center"/>
        <w:rPr>
          <w:sz w:val="28"/>
          <w:szCs w:val="28"/>
        </w:rPr>
      </w:pPr>
    </w:p>
    <w:p w:rsidR="005748B5" w:rsidRDefault="00A35C42"/>
    <w:sectPr w:rsidR="005748B5" w:rsidSect="00A30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CF"/>
    <w:rsid w:val="000F173A"/>
    <w:rsid w:val="002B59F2"/>
    <w:rsid w:val="00357F06"/>
    <w:rsid w:val="005D626C"/>
    <w:rsid w:val="007B6C81"/>
    <w:rsid w:val="00892B72"/>
    <w:rsid w:val="00A35C42"/>
    <w:rsid w:val="00B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FD144-E1F7-45B0-865E-7F3CAEF5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D626C"/>
    <w:rPr>
      <w:rFonts w:cs="Times New Roman"/>
      <w:color w:val="0000FF"/>
      <w:u w:val="single"/>
    </w:rPr>
  </w:style>
  <w:style w:type="paragraph" w:customStyle="1" w:styleId="1">
    <w:name w:val="Обычный1"/>
    <w:rsid w:val="005D626C"/>
    <w:pPr>
      <w:spacing w:after="0" w:line="276" w:lineRule="auto"/>
    </w:pPr>
    <w:rPr>
      <w:rFonts w:ascii="Arial" w:eastAsia="Times New Roman" w:hAnsi="Arial" w:cs="Arial"/>
      <w:lang w:eastAsia="uk-UA"/>
    </w:rPr>
  </w:style>
  <w:style w:type="paragraph" w:customStyle="1" w:styleId="Default">
    <w:name w:val="Default"/>
    <w:rsid w:val="005D6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5D626C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2">
    <w:name w:val="ВАК 2"/>
    <w:basedOn w:val="a"/>
    <w:rsid w:val="005D626C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4">
    <w:name w:val="Body Text Indent"/>
    <w:basedOn w:val="a"/>
    <w:link w:val="a5"/>
    <w:rsid w:val="005D626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626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d%d0%be%d1%80%d0%bc%d0%b0%d1%82%d0%b8%d0%b2%d0%bd%d1%96-%d1%82%d0%b0-%d0%bb%d0%be%d0%ba%d0%b0%d0%bb%d1%8c%d0%bd%d1%96-%d0%b0%d0%ba%d1%82%d0%b8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-learn.pnu.edu.ua/index.php?mod=course&amp;action=ReviewOneCourse&amp;id_cat=88&amp;id_cou=66" TargetMode="External"/><Relationship Id="rId11" Type="http://schemas.openxmlformats.org/officeDocument/2006/relationships/hyperlink" Target="https://law.pnu.edu.ua/%d0%bd%d0%be%d1%80%d0%bc%d0%b0%d1%82%d0%b8%d0%b2%d0%bd%d1%96-%d1%82%d0%b0-%d0%bb%d0%be%d0%ba%d0%b0%d0%bb%d1%8c%d0%bd%d1%96-%d0%b0%d0%ba%d1%82%d0%b8/" TargetMode="External"/><Relationship Id="rId5" Type="http://schemas.openxmlformats.org/officeDocument/2006/relationships/hyperlink" Target="mailto:vitaliy.knysh@pnu.edu.ua" TargetMode="External"/><Relationship Id="rId15" Type="http://schemas.openxmlformats.org/officeDocument/2006/relationships/hyperlink" Target="https://kkmtap.pnu.edu.ua/%d0%b4%d0%b5%d0%bd%d0%bd%d0%b0-%d1%81%d0%b0%d0%bc-%d1%80%d0%be%d0%b1-%d0%b1%d0%b0%d0%ba%d0%b0%d0%bb%d0%b0%d0%b2%d1%80/" TargetMode="External"/><Relationship Id="rId10" Type="http://schemas.openxmlformats.org/officeDocument/2006/relationships/hyperlink" Target="https://kkm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pnu.edu.ua/%d0%bd%d0%be%d1%80%d0%bc%d0%b0%d1%82%d0%b8%d0%b2%d0%bd%d1%96-%d1%82%d0%b0-%d0%bb%d0%be%d0%ba%d0%b0%d0%bb%d1%8c%d0%bd%d1%96-%d0%b0%d0%ba%d1%82%d0%b8/" TargetMode="External"/><Relationship Id="rId14" Type="http://schemas.openxmlformats.org/officeDocument/2006/relationships/hyperlink" Target="https://kkmtap.pnu.edu.ua/%d0%b4%d0%b5%d0%bd%d0%bd%d0%b0-%d0%bf%d1%80%d0%b0%d0%ba%d1%82-%d1%80%d0%be%d0%b1-%d0%b1%d0%b0%d0%ba%d0%b0%d0%bb%d0%b0%d0%b2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12098</Words>
  <Characters>6896</Characters>
  <Application>Microsoft Office Word</Application>
  <DocSecurity>0</DocSecurity>
  <Lines>57</Lines>
  <Paragraphs>37</Paragraphs>
  <ScaleCrop>false</ScaleCrop>
  <Company>SPecialiST RePack</Company>
  <LinksUpToDate>false</LinksUpToDate>
  <CharactersWithSpaces>18957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2022-06-14T00:43:00Z</dcterms:created>
  <dcterms:modified xsi:type="dcterms:W3CDTF">2022-06-14T03:08:00Z</dcterms:modified>
</cp:coreProperties>
</file>