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Pr="0062312A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  <w:r w:rsid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(Лукань П. ПР-44)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Адміністративно-правовий статус Департаменту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кіберполіції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системі органів Національної поліції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C36FB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C36FB1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проблеми теорії та практики.</w:t>
      </w:r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>Бобонич</w:t>
      </w:r>
      <w:proofErr w:type="spellEnd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ПРз-42)</w:t>
      </w:r>
    </w:p>
    <w:p w:rsidR="00A5732D" w:rsidRPr="004D0A4F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0A4F">
        <w:rPr>
          <w:rFonts w:ascii="Times New Roman" w:eastAsia="Calibri" w:hAnsi="Times New Roman" w:cs="Times New Roman"/>
          <w:color w:val="FF0000"/>
          <w:sz w:val="28"/>
          <w:szCs w:val="28"/>
        </w:rPr>
        <w:t>Державна мова як об’єкт національної безпеки в Україні: конституційно-правовий аспект.</w:t>
      </w:r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Нагірняк</w:t>
      </w:r>
      <w:proofErr w:type="spellEnd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Ю.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Адвокатура України: поняття, ретроспектива, принципи діяльності та роль у розбудові правової держави.</w:t>
      </w:r>
    </w:p>
    <w:p w:rsidR="00A5732D" w:rsidRPr="005D785A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5D785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9413F7" w:rsidRP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Конституційно-правовий статус Президента України.</w:t>
      </w:r>
      <w:r w:rsid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(Слободян 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29539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Стефанюк</w:t>
      </w:r>
      <w:proofErr w:type="spellEnd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І.В.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Система конституційних прав і свобод людини і громадянина.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2152C0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Політичні партії як </w:t>
      </w:r>
      <w:proofErr w:type="spellStart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>суб</w:t>
      </w:r>
      <w:proofErr w:type="spellEnd"/>
      <w:r w:rsidRPr="002152C0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’</w:t>
      </w:r>
      <w:proofErr w:type="spellStart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>єкти</w:t>
      </w:r>
      <w:proofErr w:type="spellEnd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конституційного права України.</w:t>
      </w:r>
      <w:r w:rsidR="002152C0">
        <w:rPr>
          <w:rFonts w:ascii="Times New Roman" w:eastAsia="Calibri" w:hAnsi="Times New Roman" w:cs="Times New Roman"/>
          <w:color w:val="FF0000"/>
          <w:sz w:val="28"/>
          <w:szCs w:val="28"/>
        </w:rPr>
        <w:t>(Томин О. ПРз-42</w:t>
      </w:r>
      <w:bookmarkStart w:id="0" w:name="_GoBack"/>
      <w:bookmarkEnd w:id="0"/>
      <w:r w:rsidR="002152C0">
        <w:rPr>
          <w:rFonts w:ascii="Times New Roman" w:eastAsia="Calibri" w:hAnsi="Times New Roman" w:cs="Times New Roman"/>
          <w:color w:val="FF0000"/>
          <w:sz w:val="28"/>
          <w:szCs w:val="28"/>
        </w:rPr>
        <w:t>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Інститут Уповноваженого Верховної Ради України з прав людини в</w:t>
      </w:r>
    </w:p>
    <w:p w:rsidR="00A5732D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механізмі захисту прав особи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Правотворча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05D1" w:rsidRPr="00A330B2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lastRenderedPageBreak/>
        <w:t>Інтернаціоналізовані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конфлікти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сучасності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особливості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та </w:t>
      </w:r>
      <w:proofErr w:type="gram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характеристика.</w:t>
      </w:r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proofErr w:type="gramEnd"/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Скрипник С. ПР-45)</w:t>
      </w:r>
    </w:p>
    <w:p w:rsidR="005305D1" w:rsidRPr="00CE1EE6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Договірна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правоздатність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міжнародних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організацій</w:t>
      </w:r>
      <w:proofErr w:type="spell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Яшан</w:t>
      </w:r>
      <w:proofErr w:type="spell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О. ПР-45)</w:t>
      </w:r>
    </w:p>
    <w:sectPr w:rsidR="005305D1" w:rsidRPr="00CE1E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F2E8E"/>
    <w:rsid w:val="002152C0"/>
    <w:rsid w:val="00295391"/>
    <w:rsid w:val="003A632D"/>
    <w:rsid w:val="003E5E43"/>
    <w:rsid w:val="00474CEF"/>
    <w:rsid w:val="004B58F1"/>
    <w:rsid w:val="004D0A4F"/>
    <w:rsid w:val="005305D1"/>
    <w:rsid w:val="005D785A"/>
    <w:rsid w:val="0062312A"/>
    <w:rsid w:val="00727465"/>
    <w:rsid w:val="007D7356"/>
    <w:rsid w:val="009413F7"/>
    <w:rsid w:val="00A330B2"/>
    <w:rsid w:val="00A5732D"/>
    <w:rsid w:val="00B86F7B"/>
    <w:rsid w:val="00BB454E"/>
    <w:rsid w:val="00C36FB1"/>
    <w:rsid w:val="00CA0C4A"/>
    <w:rsid w:val="00C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330B"/>
  <w15:docId w15:val="{B9AD7F8C-BEE5-4183-BA61-A58125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2559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14</cp:revision>
  <dcterms:created xsi:type="dcterms:W3CDTF">2021-10-12T13:55:00Z</dcterms:created>
  <dcterms:modified xsi:type="dcterms:W3CDTF">2021-11-15T10:53:00Z</dcterms:modified>
</cp:coreProperties>
</file>