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Адміністративний нагляд в діяльності Національної поліції України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Адміністративно-правове регулювання безоплатної правової допомоги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Адміністративно-правовий статус Державної служби фінансового моніторингу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Адміністративно-правові аспекти діяльності Національної поліції по охороні прав дітей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Публічне адміністрування у сфері медичного обслуговування населення в Україні.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Правові засоби протидії адміністративним правопорушенням серед дітей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Адміністративно-правове забезпечення протидії булінгу в Україні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Адміністративно-правовий статус Державного бюро розслідувань</w:t>
      </w:r>
    </w:p>
    <w:p w:rsidR="008C311B" w:rsidRDefault="008C311B"/>
    <w:p w:rsidR="008C311B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ПР-24,25</w:t>
      </w:r>
      <w:r w:rsidR="00D2330D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ПРз-21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>ПРз-21 Плитус Д.Т</w:t>
      </w:r>
      <w:bookmarkStart w:id="0" w:name="_GoBack"/>
      <w:bookmarkEnd w:id="0"/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>ПР-22 Шкапій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(Заріцька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>(ПРз-21 Марич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Способи забезпечення законності в публічному адмініструванні</w:t>
      </w:r>
      <w:r w:rsidR="008A6AEF">
        <w:rPr>
          <w:iCs/>
          <w:color w:val="FF0000"/>
          <w:sz w:val="28"/>
          <w:szCs w:val="28"/>
        </w:rPr>
        <w:t>(Кічура</w:t>
      </w:r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lastRenderedPageBreak/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(Серюга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Виконання постанов про накладення адміністративних стягнень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Pr="008C311B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Федорончук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Гарантії прав і свобод людини і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Конституційні права людини на освіту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Громадська участь у місцевому самоврядуванні: форми реалізації.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Прокуратури в механізмі забезпечення реалізації Конституції України.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розбудові правової держави.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Федорончук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3C696F" w:rsidRPr="003C696F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 обмеження прав і свобод людини за Конституцією України.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Албу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08F9">
        <w:rPr>
          <w:rFonts w:ascii="Times New Roman" w:eastAsia="Calibri" w:hAnsi="Times New Roman" w:cs="Times New Roman"/>
          <w:sz w:val="28"/>
          <w:szCs w:val="28"/>
        </w:rPr>
        <w:t>Конституційно-правове регулювання права на інформацію.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Конституційно-правовий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r>
        <w:rPr>
          <w:rFonts w:ascii="Times New Roman" w:eastAsia="Calibri" w:hAnsi="Times New Roman" w:cs="Times New Roman"/>
          <w:sz w:val="28"/>
          <w:szCs w:val="28"/>
        </w:rPr>
        <w:t>єднаної територіальної громади.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 ЄС: проблема чи перспектива.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 права ЄС у національне право держав членів: проблеми та перспективи.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 неурядові організації: способи досягнення проблемних цілей.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Історія створення та особливості організації діяльності Міжнародної Амністії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Amnesty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Внутрішнє право міжнародної організації: поняття, джерела.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 неурядові організації: поняття, ососбливості, відмінність від міжнародних міжурядових організацій.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Грицан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Буроменський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Вестфальський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Внесок Хьюго Гроція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Мікродержави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чорноморських проток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Міжнародний суд ООН.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єкт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Державоподібні утворення як суб</w:t>
      </w:r>
      <w:r w:rsidRPr="00CF65BF">
        <w:rPr>
          <w:color w:val="222222"/>
          <w:sz w:val="28"/>
          <w:lang w:val="ru-RU"/>
        </w:rPr>
        <w:t>’’</w:t>
      </w:r>
      <w:r w:rsidRPr="00CF65BF">
        <w:rPr>
          <w:color w:val="222222"/>
          <w:sz w:val="28"/>
        </w:rPr>
        <w:t>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Комітет Міжнародного Червоного Хреста як суб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єкт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«Комп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ютерні»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«Дерогація»,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1F4576"/>
    <w:rsid w:val="003C696F"/>
    <w:rsid w:val="004262F6"/>
    <w:rsid w:val="0046676E"/>
    <w:rsid w:val="00707BC6"/>
    <w:rsid w:val="007644AF"/>
    <w:rsid w:val="008A6AEF"/>
    <w:rsid w:val="008C311B"/>
    <w:rsid w:val="009821D7"/>
    <w:rsid w:val="00B50318"/>
    <w:rsid w:val="00BA52E3"/>
    <w:rsid w:val="00CA5CC8"/>
    <w:rsid w:val="00CF65BF"/>
    <w:rsid w:val="00D2330D"/>
    <w:rsid w:val="00DA5C91"/>
    <w:rsid w:val="00EE422D"/>
    <w:rsid w:val="00F3419E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3939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2021-10-13T08:58:00Z</dcterms:created>
  <dcterms:modified xsi:type="dcterms:W3CDTF">2021-10-13T09:21:00Z</dcterms:modified>
</cp:coreProperties>
</file>