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Протокол №1 від 29.08.2019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93284B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042BD1">
        <w:rPr>
          <w:rFonts w:ascii="Times New Roman" w:hAnsi="Times New Roman" w:cs="Times New Roman"/>
          <w:sz w:val="28"/>
          <w:szCs w:val="28"/>
        </w:rPr>
        <w:t>Теми для рефератів:</w:t>
      </w:r>
    </w:p>
    <w:p w:rsidR="00FA635C" w:rsidRPr="00FA635C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Поняття та основні принципи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Система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Форми реалізації громадянами права на участь у місцевому самоврядуванні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93284B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Європейська хартія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 xml:space="preserve">Процес прийняття Закону України „Про місцеве самоврядування в Україні”. 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lastRenderedPageBreak/>
        <w:t>Територіальна громада як первинна ланка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Статус депутатів місцевих рад.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Вибори та референдуми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Багатопартійність - позитивні і негативні сторони.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Органи самоорганізації населення в системі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Зв’язки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93284B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02B3" w:rsidRPr="00F502B3" w:rsidRDefault="0093284B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F502B3"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>пліни є результатом 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роботи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</w:t>
      </w:r>
      <w:r w:rsidR="00FA635C" w:rsidRPr="00FA635C">
        <w:rPr>
          <w:rFonts w:ascii="Times New Roman" w:hAnsi="Times New Roman" w:cs="Times New Roman"/>
          <w:sz w:val="28"/>
          <w:szCs w:val="28"/>
        </w:rPr>
        <w:lastRenderedPageBreak/>
        <w:t>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P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кафедри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3A8"/>
    <w:rsid w:val="00042BD1"/>
    <w:rsid w:val="001B44EA"/>
    <w:rsid w:val="00496C58"/>
    <w:rsid w:val="0062692F"/>
    <w:rsid w:val="006C13A8"/>
    <w:rsid w:val="007A311B"/>
    <w:rsid w:val="0093284B"/>
    <w:rsid w:val="00C25272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</cp:revision>
  <dcterms:created xsi:type="dcterms:W3CDTF">2019-09-12T09:37:00Z</dcterms:created>
  <dcterms:modified xsi:type="dcterms:W3CDTF">2019-09-13T07:28:00Z</dcterms:modified>
</cp:coreProperties>
</file>