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10" w:rsidRDefault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ДВНЗ </w:t>
      </w:r>
      <w:proofErr w:type="spellStart"/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“Прикарпатський</w:t>
      </w:r>
      <w:proofErr w:type="spellEnd"/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національний університет імені Василя </w:t>
      </w:r>
      <w:proofErr w:type="spellStart"/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Стефаника”</w:t>
      </w:r>
      <w:proofErr w:type="spellEnd"/>
    </w:p>
    <w:p w:rsidR="00785A10" w:rsidRDefault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Філософський факультет</w:t>
      </w:r>
    </w:p>
    <w:p w:rsidR="00785A10" w:rsidRDefault="00785A10">
      <w:pPr>
        <w:pStyle w:val="a1"/>
        <w:spacing w:after="0" w:line="330" w:lineRule="atLeast"/>
        <w:jc w:val="center"/>
      </w:pPr>
    </w:p>
    <w:p w:rsidR="00785A10" w:rsidRDefault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ПРОГРАМОВІ ВИМОГИ</w:t>
      </w:r>
    </w:p>
    <w:p w:rsidR="00785A10" w:rsidRDefault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ДО ДЕРЖАВНОГО ЕКЗАМЕНУ З ПСИХОЛОГІЇ</w:t>
      </w:r>
    </w:p>
    <w:p w:rsidR="00785A10" w:rsidRDefault="00785A10">
      <w:pPr>
        <w:pStyle w:val="a1"/>
        <w:spacing w:after="0" w:line="330" w:lineRule="atLeast"/>
        <w:jc w:val="center"/>
      </w:pPr>
    </w:p>
    <w:p w:rsidR="00785A10" w:rsidRDefault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</w:rPr>
        <w:t>КОМПЛЕКСНИЙ</w:t>
      </w:r>
    </w:p>
    <w:p w:rsidR="00785A10" w:rsidRDefault="00785A10">
      <w:pPr>
        <w:pStyle w:val="a1"/>
        <w:spacing w:after="0" w:line="330" w:lineRule="atLeast"/>
        <w:jc w:val="center"/>
      </w:pPr>
    </w:p>
    <w:p w:rsidR="00785A10" w:rsidRDefault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ДЛЯ СТУДЕНТІВ ДЕННОЇ, ЗАОЧНОЇ ТА ЕКСТЕРНАТНОЇ</w:t>
      </w:r>
    </w:p>
    <w:p w:rsidR="00785A10" w:rsidRDefault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ФОРМ НАВЧАННЯ</w:t>
      </w:r>
    </w:p>
    <w:p w:rsidR="00785A10" w:rsidRDefault="00B963FC">
      <w:pPr>
        <w:pStyle w:val="a1"/>
        <w:tabs>
          <w:tab w:val="left" w:pos="400"/>
        </w:tabs>
        <w:spacing w:after="0" w:line="330" w:lineRule="atLeast"/>
        <w:ind w:left="50"/>
        <w:jc w:val="center"/>
      </w:pPr>
      <w:r>
        <w:rPr>
          <w:rStyle w:val="a6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ОКР “БАКАЛАВР”</w:t>
      </w:r>
    </w:p>
    <w:p w:rsidR="00785A10" w:rsidRDefault="00785A10">
      <w:pPr>
        <w:pStyle w:val="a0"/>
        <w:spacing w:after="0" w:line="100" w:lineRule="atLeast"/>
        <w:ind w:firstLine="709"/>
        <w:jc w:val="both"/>
      </w:pPr>
    </w:p>
    <w:p w:rsidR="00785A10" w:rsidRDefault="00785A10">
      <w:pPr>
        <w:pStyle w:val="a0"/>
        <w:keepNext/>
        <w:spacing w:after="0" w:line="100" w:lineRule="atLeast"/>
        <w:ind w:firstLine="709"/>
        <w:jc w:val="center"/>
      </w:pPr>
    </w:p>
    <w:p w:rsidR="00785A10" w:rsidRDefault="00B963FC">
      <w:pPr>
        <w:pStyle w:val="a0"/>
        <w:spacing w:after="0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«Загальна психологія»</w:t>
      </w:r>
    </w:p>
    <w:p w:rsidR="00785A10" w:rsidRDefault="00785A10">
      <w:pPr>
        <w:pStyle w:val="a0"/>
        <w:spacing w:after="0" w:line="100" w:lineRule="atLeast"/>
        <w:jc w:val="both"/>
      </w:pP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Значення положень Платона про «ідеї» та «Царство Ідей» для становлення наукової психології. Психологічна сутність абстрагування і поняття.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Значення християнського морального вчення для становлення наукової психології.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Основний психологічний зміст концептів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cogito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ergo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sum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Р. Декарта,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tabula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rasa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Дж. Локка і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esse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est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/>
        </w:rPr>
        <w:t>percipi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Берклі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Значення вчення Ї.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Прохазки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становлення наукової психології.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Основний психологічний зміст вчення І.М.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Сєчєнова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функції нервової системи і психіки, зворотний зв’язок, центральне гальмування, «мозкову машину» та її «придатки».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Основний психологічний зміст вчення І.П. Павлова про сигнальний зв’язок (умовний рефлекс) і В.М.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Бєхтєрєва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сполучний рефлекс.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Екстирпації (руйнування) різних ділянок мозку, електроенцефалограма (ЕЕГ), ефекти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вживлених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електродів і психотропних речовин як свідчення зв’язку мозку і психіки.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Основні функції нижнього, середнього та верхнього відділів головного мозку людини. Функціональна специфіка лівої і правої півкуль мозку.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9. Свідомість людини. Основні складові свідомості: понятійні (дискурсивні) знання, самосвідомість,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цілепокладання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ставлення. Несвідомі і підсвідомі феномени у психіці людини.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Увага. Види, властивості і функції уваги.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Відчуття. Рецептор. Аналізатор. Перекодування в аналізаторі. Модальність відчуттів. Синестезія.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Екстероцептивні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відчуття.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Дистантні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контактні відчуття.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Інтероцептивні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відчуття. Органічні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пропріоцептивні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відчуття.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Сила подразника та інтенсивність відчуття. Пороги відчуттів. Чутливість органу чуття.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Бугера-Вебера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Вебера-Фехнера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15. Адаптація відчуттів. Сенсибілізація. Прості, основні і складні відчуття. Інерція відчуттів.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16. Предметність (об’ємність)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перцептивного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відображення (сприймання) та її фактори: перспективне скорочення, перекривання, розподіл світла й тіней, відблиски і контрасти, повітряна перспектива, руховий паралакс.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17. Структурність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перцептивного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відображення (сприймання) та її фактори: перепади світла й тіней та забарвлень, близькість, подібність, плавність, неперервність, завершеність, простота, симетричність,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прегнантність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18. Атрибутивність і цілісність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перцептивного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відображення (сприймання).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19. Константність, конструктивність і вибірковість сприймання.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Перцептивна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модель.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20. Уява. Уявлення. Фантазія.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 Психологічна сутність інтелекту і мислення.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22. Наочно-дійове мислення.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Сенсомоторний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інтелект.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 Наочно-образне мислення.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24. Дискурсивне (словесно-логічне) мислення. Зв’язки мислення і мовлення.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25. Асоціативні комплекси (синкретичні образи),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псевдопоняття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 Л. Виготським. Трансдукція за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Штерном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Словотворення і словесний символізм за О. Потебнею.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Мисленнєві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операції: аналіз і синтез, порівняння, абстрагування, узагальнення, означення.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27. Теоретичне, формальне і творче мислення.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28. Пам’ять. Види і процеси пам’яті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мнемічні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29. Емоції та їх види. Настрої. Афект. «Вегетативна буря». Емоційна складова стресу.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30. Вищі почуття: моральні, релігійні, національно-патріотичні (почуття етнічної ідентичності), естетичні, екологічні.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 Особистість як психологічний феномен. Біологічна, соціальна і духовна природа особистості.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32. Темперамент особистості.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33. Задатки і здібності особистості.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34. Конституційно-антропометричні концепції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Кречмера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Шелдона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35. Авторитарний тиск на особистість. Конформізм і його види. «Втеча в Натовп».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36. «Втеча від Свободи». «Гонитва за Ідолами». (За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Фроммом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37. Соціально-психологічні механізми взаємовпливу і взаєморозуміння: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інтеракція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переконування, навіювання, емоційне зараження, ідентифікація,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емпатія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рефлексія.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Референтність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авторитет, авторитарність особистості.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38. Основний психологічний зміст духовності, моральності, совісті особистості.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39. Психологія віри в Бога і християнської любові. Психологія «розумного егоїзму».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40. Характер особистості.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85A10" w:rsidRDefault="00785A10">
      <w:pPr>
        <w:pStyle w:val="a0"/>
        <w:spacing w:after="0" w:line="100" w:lineRule="atLeast"/>
        <w:jc w:val="both"/>
      </w:pPr>
    </w:p>
    <w:p w:rsidR="00785A10" w:rsidRDefault="00785A10">
      <w:pPr>
        <w:pStyle w:val="a0"/>
        <w:spacing w:after="0" w:line="100" w:lineRule="atLeast"/>
        <w:ind w:right="-28" w:firstLine="709"/>
        <w:jc w:val="center"/>
      </w:pPr>
    </w:p>
    <w:p w:rsidR="00785A10" w:rsidRDefault="00785A10">
      <w:pPr>
        <w:pStyle w:val="a0"/>
        <w:spacing w:after="0" w:line="100" w:lineRule="atLeast"/>
        <w:ind w:firstLine="709"/>
        <w:jc w:val="both"/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ПРОГРАМОВІ ВИМОГИ</w:t>
      </w: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ДО ДЕРЖАВНОГО ЕКЗАМЕНУ З ПСИХОЛОГІЇ</w:t>
      </w:r>
    </w:p>
    <w:p w:rsidR="00B963FC" w:rsidRDefault="00B963FC" w:rsidP="00B963FC">
      <w:pPr>
        <w:pStyle w:val="a1"/>
        <w:spacing w:after="0" w:line="330" w:lineRule="atLeast"/>
        <w:jc w:val="center"/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</w:rPr>
        <w:t>КОМПЛЕКСНИЙ</w:t>
      </w:r>
    </w:p>
    <w:p w:rsidR="00B963FC" w:rsidRDefault="00B963FC" w:rsidP="00B963FC">
      <w:pPr>
        <w:pStyle w:val="a1"/>
        <w:spacing w:after="0" w:line="330" w:lineRule="atLeast"/>
        <w:jc w:val="center"/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ДЛЯ СТУДЕНТІВ ДЕННОЇ, ЗАОЧНОЇ ТА ЕКСТЕРНАТНОЇ</w:t>
      </w: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ФОРМ НАВЧАННЯ</w:t>
      </w:r>
    </w:p>
    <w:p w:rsidR="00B963FC" w:rsidRDefault="00B963FC" w:rsidP="00B963FC">
      <w:pPr>
        <w:pStyle w:val="a1"/>
        <w:tabs>
          <w:tab w:val="left" w:pos="400"/>
        </w:tabs>
        <w:spacing w:after="0" w:line="330" w:lineRule="atLeast"/>
        <w:ind w:left="50"/>
        <w:jc w:val="center"/>
      </w:pPr>
      <w:r>
        <w:rPr>
          <w:rStyle w:val="a6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ОКР “БАКАЛАВР”</w:t>
      </w:r>
    </w:p>
    <w:p w:rsidR="00785A10" w:rsidRDefault="00785A10">
      <w:pPr>
        <w:pStyle w:val="a0"/>
        <w:spacing w:after="0" w:line="100" w:lineRule="atLeast"/>
        <w:ind w:firstLine="709"/>
        <w:jc w:val="both"/>
      </w:pPr>
    </w:p>
    <w:p w:rsidR="00785A10" w:rsidRDefault="00B963FC">
      <w:pPr>
        <w:pStyle w:val="a0"/>
        <w:spacing w:after="0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«Основи психологічного консультування»</w:t>
      </w:r>
    </w:p>
    <w:p w:rsidR="00785A10" w:rsidRDefault="00785A10">
      <w:pPr>
        <w:pStyle w:val="a0"/>
        <w:spacing w:after="0" w:line="100" w:lineRule="atLeast"/>
        <w:ind w:firstLine="709"/>
        <w:jc w:val="center"/>
      </w:pP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1.Визначення, мета та завдання психологічного консультування.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2.Психологічне консультування як вид психологічної допомоги. Історія його виникнення.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3.Специфічні особливості та види психологічного консультування.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4.Поняття про консультативний контакт і його особливості в різних психотерапевтичних напрямах.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5.Перенесення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контрперенесення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консультуванні: визначення, риси, причини, значення.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6.Загальна характеристика невербальних засобів консультативної взаємодії. Техніка дзеркального відображення невербальної поведінки клієнта.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7.Значення невербальної поведінки клієнта для консультативного процесу.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8.Поведінкові ознаки позитивного та негативного ставлення клієнта в консультативному контакті.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9.Особливості організації роботи психологічної консультації.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Фізичні компоненти консультативної взаємодії (обстановка психологічної консультації, структурування терапевтичного простору та часу).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Умови та чинники ефективності процесу консультування.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12. Морально-етичні принципи та відповідальність психолога-консультанта.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 Основні вимоги до особистості консультанта. Модель ефективного консультанта.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14. Вплив професійної діяльності на особистість консультанта. Зміст поняття «синдром вигорання» та способи його запобігання.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15. Особливості професійної підготовки психолога-консультанта. Професійно значущі риси консультанта.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16. Психологічний зміст понять: «скарга клієнта», «психологічний запит», «проблема клієнта».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17. Характеристика процесу консультування: оптимальна часова тривалість консультативних зустрічей (з урахуванням віку клієнтів), загальна кількість зустрічей, інтервал між бесідами тощо.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П’ятикрокова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модель інтерв’ю: етапи, завдання консультанта, психотехнічне забезпечення.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19. Еклектична модель консультативного процесу, за Б.Е.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Гілландом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завдання та психотехнічне забезпечення.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20. Методи впливу і вислуховування та їх функції в структурі консультативного процесу.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 Загальна характеристика основних технік психологічного консультування.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22.Особливості застосування психометричних методів у практиці психологічного консультування.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23.Особливості консультування тривожних клієнтів. Значення механізмів психологічного захисту.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24.Особливості консультування «немотивованих» клієнтів.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25.Особливості консультування у випадку смерті близької людини.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26.Особливості консультування клієнтів, що пережили розлучення.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27.Особливості консультування клієнтів з депресіями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суїцидальними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намірами.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28.Особливості консультування вороже налаштованих та агресивних клієнтів.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29.Елементи класичного психоаналізу в практиці психологічного консультування: процедури, техніки, опір та опрацювання механізмів психологічного захисту. 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30. Значення та функції захисних механізмів для процесу саморегуляції клієнта.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 Характеристика консультативного процесу в руслі аналітичної психології К.Юнга. Вербальні й невербальні методи аналітично зорієнтованого психологічного консультування.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32. Особливості застосування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юнгіанської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піскової терапії.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33. Основні поняття, психотехнічні прийоми та методи індивідуальної психології А.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Адлера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34. Поведінкове консультування: мета, особливості консультативного контакту, технічне забезпечення.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Гештальт-консультування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основні поняття, мета та психотехнічне забезпечення.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Трансактний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аналіз: основні поняття, мета, сучасні психотехніки.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37. Раціонально-емотивне поведінкове консультування. Застосування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АВС-схеми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практиці психологічного консультування.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38. Клієнт-центроване консультування. Характеристика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недирективних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методів роботи з клієнтами.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39. Особливості консультування клієнтів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екзистенційною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проблематикою, за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Меєм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Яломом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Франклом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85A10" w:rsidRDefault="00B963FC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40. Прикладна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логотерапія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техніки і методи.</w:t>
      </w:r>
    </w:p>
    <w:p w:rsidR="00785A10" w:rsidRDefault="00785A10">
      <w:pPr>
        <w:pStyle w:val="a0"/>
        <w:spacing w:after="0" w:line="100" w:lineRule="atLeast"/>
        <w:ind w:left="363" w:firstLine="709"/>
        <w:jc w:val="both"/>
      </w:pP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ПРОГРАМОВІ ВИМОГИ</w:t>
      </w: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ДО ДЕРЖАВНОГО ЕКЗАМЕНУ З ПСИХОЛОГІЇ</w:t>
      </w:r>
    </w:p>
    <w:p w:rsidR="00B963FC" w:rsidRDefault="00B963FC" w:rsidP="00B963FC">
      <w:pPr>
        <w:pStyle w:val="a1"/>
        <w:spacing w:after="0" w:line="330" w:lineRule="atLeast"/>
        <w:jc w:val="center"/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</w:rPr>
        <w:t>КОМПЛЕКСНИЙ</w:t>
      </w:r>
    </w:p>
    <w:p w:rsidR="00B963FC" w:rsidRDefault="00B963FC" w:rsidP="00B963FC">
      <w:pPr>
        <w:pStyle w:val="a1"/>
        <w:spacing w:after="0" w:line="330" w:lineRule="atLeast"/>
        <w:jc w:val="center"/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ДЛЯ СТУДЕНТІВ ДЕННОЇ, ЗАОЧНОЇ ТА ЕКСТЕРНАТНОЇ</w:t>
      </w: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ФОРМ НАВЧАННЯ</w:t>
      </w:r>
    </w:p>
    <w:p w:rsidR="00B963FC" w:rsidRDefault="00B963FC" w:rsidP="00B963FC">
      <w:pPr>
        <w:pStyle w:val="a1"/>
        <w:tabs>
          <w:tab w:val="left" w:pos="400"/>
        </w:tabs>
        <w:spacing w:after="0" w:line="330" w:lineRule="atLeast"/>
        <w:ind w:left="50"/>
        <w:jc w:val="center"/>
      </w:pPr>
      <w:r>
        <w:rPr>
          <w:rStyle w:val="a6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ОКР “БАКАЛАВР”</w:t>
      </w:r>
    </w:p>
    <w:p w:rsidR="00B963FC" w:rsidRDefault="00B963FC">
      <w:pPr>
        <w:pStyle w:val="a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85A10" w:rsidRDefault="00B963FC">
      <w:pPr>
        <w:pStyle w:val="a0"/>
        <w:spacing w:after="0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«Вікова психологія»</w:t>
      </w:r>
    </w:p>
    <w:p w:rsidR="00785A10" w:rsidRDefault="00785A10">
      <w:pPr>
        <w:pStyle w:val="a0"/>
        <w:spacing w:after="0" w:line="100" w:lineRule="atLeast"/>
        <w:ind w:firstLine="709"/>
        <w:jc w:val="both"/>
      </w:pP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Предмет, завдання, структура та методи вікової психології.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Методологічні проблеми вікової психології.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про розвиток, дозрівання і ріст.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Принципи, закономірності, критерії та фактори психічного розвитку.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Поняття про вік. Основні підходи та критерії вікової періодизації (К.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Бюлер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Блонський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Фройд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Кольберг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Еріксон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Піаже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Л.С. Виготський, Д.Б. Ельконін та ін.).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Передумови виникнення дитячої психології як самостійної науки (І.Ф.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Герберт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К.Д. Ушинський, У. Джеймс,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Мюнстенберг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Прейєр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ін.).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Виникнення та розвиток вікової психології на початку XX століття (Ст.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Мейман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Д. Селі,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Штерн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Клапаред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Бюлер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Ш.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Бюлер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ін.).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Біологічний підхід до розвитку (теорія рекапітуляції 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теорія дозрівання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Гезелла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етологічна теорія К. Лоренца).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Психодинамічний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підхід до розвитку (теорія психосексуального розвитку З.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Фройда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психосоціальна теорія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Еріксона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Біхевіористський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підхід до розвитку (теорія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зумовлення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Скіннера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соціально-когнітивна теорія А. Бандури).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Когнітивно-генетичний підхід до розвитку (теорія розвитку дитячого інтелекту 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Піаже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теорія обробки інформації).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Контекстуальний підхід до розвитку (культурно-історична теорія Л.С. Виготського, теорія екологічних систем 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Бронфенбреннера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Теорія конвергенції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Штерна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Теорія морального розвитку 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Кольберга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Теорії розвитку у вітчизняній психології (С.Л.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Рубінштейн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О.М. Леонтьєв, О.В. Запорожець, Б.Г. Ананьєв, П.Я.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Гальперін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А.В. Петровський, Д.Б. Ельконін, Г.С. Костюк та ін.).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Взаємозв’язок навчання та розвитку особистості: основні концепції (Е.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Торндайк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Піаже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Л.С. Виготський).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Пренатальний ріст та розвиток дитини. Вплив зовнішнього середовища на пренатальний розвиток дитини. Криза народження.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Психологічна характеристика періоду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новонародженості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Розвиток орієнтації в оточуючому світі (сенсорний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перцептивний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розвиток) у немовлячому віці.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Когнітивний розвиток у немовлячому віці. Поняття про знаково-символічну функцію свідомості.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Криза першого року життя. Центральні психологічні новоутворення немовлячого періоду.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Особливості пізнавальної сфери в ранньому віці: сприймання, увага, пам’ять, мислення. Якісні і кількісні характеристики словникового запасу дітей раннього віку. 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Становлення Я-концепції у ранньому віці. Криза 3-х років: симптоми, шляхи подолання.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характеристика психічного розвитку дошкільника.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 як провідна діяльність і основний рушій розвитку в дошкільному дитинстві.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Соціалізація та розвиток особистості у дошкільному віці. Ідентифікація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его-ідентичність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Готовність дитини до навчання у школі: основні критерії. Криза семи років.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та когнітивний розвиток у молодшому шкільному віці. Причини та шляхи подолання шкільної неуспішності.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емоційно-вольової та мотиваційної сфер у молодшого школяра.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Особливості психічного та особистісного розвитку в підлітковому віці. Моральний розвиток у підлітковому віці (Л.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Кольберг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Л.І.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Божович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Теоретичні підходи до проблеми підліткової кризи (Ст.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Шпрангер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Штерн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Ш.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Бюлер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Еріксон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Піаже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Л.С. Виготський, Д.Б. Ельконін).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Акцентуації характеру в підлітковому віці.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Чинники психічного розвитку в ранній юності. Внутрішня позиція і формування життєвих планів. 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Особистісне та професійне самовизначення в ранній юності. Етапи становлення професійного самовизначення.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Психосоціальний розвиток у період ранньої дорослості.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Професійна підготовка та вибір професійного шляху у ранньому дорослому віці.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Сім’я і батьківство. Гендерна рівність, прийняття гендерних ролей та стратегії сімейного виховання.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Середня дорослість: особливості емоційного та когнітивного розвитку.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Причини та наслідки кризи середнього віку.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характеристика періоду пізньої зрілості. Старіння: фізіологічні, психологічні та соціальні причини.</w:t>
      </w:r>
    </w:p>
    <w:p w:rsidR="00785A10" w:rsidRDefault="00B963FC">
      <w:pPr>
        <w:pStyle w:val="a0"/>
        <w:numPr>
          <w:ilvl w:val="0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Особистісний та соціальний розвиток у похилому віці.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Екзистенційна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криза: шляхи подолання.</w:t>
      </w:r>
    </w:p>
    <w:p w:rsidR="00785A10" w:rsidRDefault="00785A10">
      <w:pPr>
        <w:pStyle w:val="a0"/>
        <w:spacing w:after="0" w:line="100" w:lineRule="atLeast"/>
        <w:ind w:firstLine="709"/>
        <w:jc w:val="both"/>
      </w:pPr>
    </w:p>
    <w:p w:rsidR="00B963FC" w:rsidRDefault="00B963FC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3FC" w:rsidRDefault="00B963FC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ПРОГРАМОВІ ВИМОГИ</w:t>
      </w: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ДО ДЕРЖАВНОГО ЕКЗАМЕНУ З ПСИХОЛОГІЇ</w:t>
      </w:r>
    </w:p>
    <w:p w:rsidR="00B963FC" w:rsidRDefault="00B963FC" w:rsidP="00B963FC">
      <w:pPr>
        <w:pStyle w:val="a1"/>
        <w:spacing w:after="0" w:line="330" w:lineRule="atLeast"/>
        <w:jc w:val="center"/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</w:rPr>
        <w:t>КОМПЛЕКСНИЙ</w:t>
      </w:r>
    </w:p>
    <w:p w:rsidR="00B963FC" w:rsidRDefault="00B963FC" w:rsidP="00B963FC">
      <w:pPr>
        <w:pStyle w:val="a1"/>
        <w:spacing w:after="0" w:line="330" w:lineRule="atLeast"/>
        <w:jc w:val="center"/>
      </w:pP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ДЛЯ СТУДЕНТІВ ДЕННОЇ, ЗАОЧНОЇ ТА ЕКСТЕРНАТНОЇ</w:t>
      </w:r>
    </w:p>
    <w:p w:rsidR="00B963FC" w:rsidRDefault="00B963FC" w:rsidP="00B963FC">
      <w:pPr>
        <w:pStyle w:val="a1"/>
        <w:spacing w:after="0" w:line="330" w:lineRule="atLeast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ФОРМ НАВЧАННЯ</w:t>
      </w:r>
    </w:p>
    <w:p w:rsidR="00B963FC" w:rsidRDefault="00B963FC" w:rsidP="00B963FC">
      <w:pPr>
        <w:pStyle w:val="a1"/>
        <w:tabs>
          <w:tab w:val="left" w:pos="400"/>
        </w:tabs>
        <w:spacing w:after="0" w:line="330" w:lineRule="atLeast"/>
        <w:ind w:left="50"/>
        <w:jc w:val="center"/>
      </w:pPr>
      <w:r>
        <w:rPr>
          <w:rStyle w:val="a6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ОКР “БАКАЛАВР”</w:t>
      </w:r>
    </w:p>
    <w:p w:rsidR="00B963FC" w:rsidRDefault="00B963FC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10" w:rsidRDefault="00B963FC">
      <w:pPr>
        <w:pStyle w:val="a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Cоціальна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психологія» 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Предмет і завдання соціальної психології.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Місце соціальної психології у системі наукового пізнання.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Поняття «соціально-психологічного простору», «соціально-психологічних явищ» та «соціально-психологічної реальності» у соціальній психології.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Ознаки сучасної соціальної психології.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 Функції соціальної психології.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 Основні методи соціальної психології.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Етапи становлення української соціальної психології.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Статус особистості у структурі міжособистісних відносин. Складові статусу особистості: авторитет, престиж. Поняття «позиція особистості».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Поняття соціалізації особистості. Соціалізація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інкультурація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Соціалізація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Соціалізація як адаптація. Соціалізація як конструювання соціальності. 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Критерії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соціалізованості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особистості.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Ресоціалізація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особистості.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Стадії соціалізації.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 Соціальні інститути соціалізації. Засоби соціалізації (традиційний, інституційний, міжособистісний, рефлексивний, стилізований).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 Чинники та механізми соціалізації (наслідування, навіювання, соціальна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фасилітація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>, чутки, інтеріоризація, рефлексія тощо). Форми соціалізації (цілеспрямована і стихійна).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14. Теорії соціалізації: біогенетичний,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соціогенетичний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соціоекологічний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Бронфенбреннер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психоаналітичний підходи. 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Сучасні теорії соціалізації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когнітивізм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ситуаціонізм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конструктивізм).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16. Види соціалізації: політична, економічна, статево-рольова.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17. Механізми соціальної регуляції поведінки: зовнішні і внутрішні; соціальні норми, соціальні установки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аттитюди</w:t>
      </w:r>
      <w:proofErr w:type="spellEnd"/>
      <w:r>
        <w:rPr>
          <w:rFonts w:ascii="Times New Roman" w:hAnsi="Times New Roman" w:cs="Times New Roman"/>
          <w:sz w:val="28"/>
          <w:szCs w:val="28"/>
        </w:rPr>
        <w:t>), цінності, ціннісні орієнтації.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18. Девіантна поведінка: неузгодженість поведінки соціальним нормам і цінностям. Фактори девіантної поведінки. Теорія Е. Дюркгейма,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культурологічні теорії (Т.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Селліна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У. Міллера).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19. Поняття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внутрішньоособистісного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конфлікту. Специфіка, показники.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bookmarkStart w:id="1" w:name="__DdeLink__73_873124631"/>
      <w:bookmarkEnd w:id="1"/>
      <w:r>
        <w:rPr>
          <w:rFonts w:ascii="Times New Roman" w:hAnsi="Times New Roman" w:cs="Times New Roman"/>
          <w:sz w:val="28"/>
          <w:szCs w:val="28"/>
        </w:rPr>
        <w:t xml:space="preserve">20. Типологія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внутрішньоособистісних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конфліктів. Причини виникнення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внутрішньоособистісних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конфліктів.   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 Поняття «атракція» (потяг), соціальна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фасилітація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соціальна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інгібіція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конформність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підпорядкування, когнітивна реінтеграція як форми соціального впливу. Експерименти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Мілгрема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22. Теорії когнітивної відповідності (теорія структурного балансу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комунікативних актів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Ньюкома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когнітивного дисонансу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Фестігнера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конгруентності 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Осгуда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Таненбаума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23. Соціально-психологічні характеристики малої групи.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24. Класифікація малих груп.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25. Динаміка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групоутворення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26. Лідерство і керівництво. Стилі лідерства і керівництва.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27. Прийняття рішень. Різновиди особистісних профілів рішень.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28. Нормативна поведінка. Групові норми.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29. Груповий конформізм. 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Нонконформна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поведінка.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31. Групові рішення.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Групомислення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32. Поняття «соціально-психологічного клімату колективу». Показники СПК та чинники успішності міжособистісних стосунків у колективі.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33. Групова сумісність і згуртованість. Визначення індексу згуртованості групи.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34. Стадії формування згуртованої групи. Ознаки згуртованості.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35. Конфлікти. Типи конфліктів: між особистістю і групою, внутрігрупові,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міжгрупові</w:t>
      </w:r>
      <w:proofErr w:type="spellEnd"/>
      <w:r>
        <w:rPr>
          <w:rFonts w:ascii="Times New Roman" w:hAnsi="Times New Roman" w:cs="Times New Roman"/>
          <w:sz w:val="28"/>
          <w:szCs w:val="28"/>
        </w:rPr>
        <w:t>. Функції конфліктів.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36. Способи і методи подолання конфліктів. Шляхи вирішення конфліктів. Стратегії поведінки у конфліктній ситуації.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37.  Великі групи. Суттєві ознаки великих груп. Структура великих груп. Види великих груп. 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38. Метод соціометрії у вивченні міжособистісних відносин у групі.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39. Поняття про міжособистісні стосунки: соціальні стосунки, формальні і неформальні взаємини, соціальний контроль, офіційні взаємини, особистісні стосунки. Теорія «людських відносин»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5A10" w:rsidRDefault="00B963FC">
      <w:pPr>
        <w:pStyle w:val="a0"/>
        <w:spacing w:after="0" w:line="2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40. Роль як реалізація статусу і позиції особистості.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Соц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роль.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Класифікації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ролей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Парсонса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Дж. Морено). </w:t>
      </w:r>
    </w:p>
    <w:p w:rsidR="00785A10" w:rsidRDefault="00785A10">
      <w:pPr>
        <w:pStyle w:val="a0"/>
        <w:spacing w:after="0" w:line="100" w:lineRule="atLeast"/>
        <w:ind w:right="-28" w:firstLine="709"/>
        <w:jc w:val="both"/>
      </w:pPr>
    </w:p>
    <w:p w:rsidR="00785A10" w:rsidRDefault="00785A10">
      <w:pPr>
        <w:pStyle w:val="a0"/>
        <w:spacing w:after="0" w:line="100" w:lineRule="atLeast"/>
        <w:ind w:firstLine="709"/>
        <w:jc w:val="center"/>
      </w:pPr>
    </w:p>
    <w:p w:rsidR="00785A10" w:rsidRDefault="00785A10">
      <w:pPr>
        <w:pStyle w:val="ab"/>
        <w:keepNext/>
        <w:spacing w:after="0"/>
        <w:ind w:firstLine="363"/>
        <w:jc w:val="center"/>
      </w:pPr>
    </w:p>
    <w:sectPr w:rsidR="00785A10" w:rsidSect="00785A10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C3866"/>
    <w:multiLevelType w:val="multilevel"/>
    <w:tmpl w:val="D98A06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4820AB"/>
    <w:multiLevelType w:val="multilevel"/>
    <w:tmpl w:val="027C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785A10"/>
    <w:rsid w:val="00531772"/>
    <w:rsid w:val="00785A10"/>
    <w:rsid w:val="007E55F0"/>
    <w:rsid w:val="00B9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72"/>
  </w:style>
  <w:style w:type="paragraph" w:styleId="2">
    <w:name w:val="heading 2"/>
    <w:basedOn w:val="a0"/>
    <w:next w:val="a1"/>
    <w:rsid w:val="00785A10"/>
    <w:pPr>
      <w:keepNext/>
      <w:numPr>
        <w:ilvl w:val="1"/>
        <w:numId w:val="1"/>
      </w:numPr>
      <w:spacing w:before="28" w:after="62" w:line="100" w:lineRule="atLeast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ий"/>
    <w:rsid w:val="00785A10"/>
    <w:pPr>
      <w:tabs>
        <w:tab w:val="left" w:pos="708"/>
      </w:tabs>
      <w:suppressAutoHyphens/>
    </w:pPr>
    <w:rPr>
      <w:rFonts w:ascii="Calibri" w:eastAsia="WenQuanYi Micro Hei" w:hAnsi="Calibri" w:cs="Calibri"/>
      <w:lang w:eastAsia="en-US"/>
    </w:rPr>
  </w:style>
  <w:style w:type="character" w:customStyle="1" w:styleId="20">
    <w:name w:val="Заголовок 2 Знак"/>
    <w:basedOn w:val="a2"/>
    <w:rsid w:val="00785A10"/>
    <w:rPr>
      <w:rFonts w:ascii="Times New Roman" w:eastAsia="Times New Roman" w:hAnsi="Times New Roman" w:cs="Times New Roman"/>
      <w:b/>
      <w:bCs/>
      <w:color w:val="000000"/>
      <w:sz w:val="36"/>
      <w:szCs w:val="36"/>
      <w:lang w:eastAsia="uk-UA"/>
    </w:rPr>
  </w:style>
  <w:style w:type="character" w:customStyle="1" w:styleId="a5">
    <w:name w:val="Гіперпосилання"/>
    <w:basedOn w:val="a2"/>
    <w:rsid w:val="00785A10"/>
    <w:rPr>
      <w:color w:val="0000FF"/>
      <w:u w:val="single"/>
      <w:lang w:val="uk-UA" w:eastAsia="uk-UA" w:bidi="uk-UA"/>
    </w:rPr>
  </w:style>
  <w:style w:type="character" w:customStyle="1" w:styleId="ListLabel1">
    <w:name w:val="ListLabel 1"/>
    <w:rsid w:val="00785A10"/>
    <w:rPr>
      <w:rFonts w:eastAsia="Times New Roman" w:cs="Times New Roman"/>
    </w:rPr>
  </w:style>
  <w:style w:type="character" w:customStyle="1" w:styleId="a6">
    <w:name w:val="Виділення жирним"/>
    <w:rsid w:val="00785A10"/>
    <w:rPr>
      <w:b/>
      <w:bCs/>
    </w:rPr>
  </w:style>
  <w:style w:type="paragraph" w:customStyle="1" w:styleId="a7">
    <w:name w:val="Заголовок"/>
    <w:basedOn w:val="a0"/>
    <w:next w:val="a1"/>
    <w:rsid w:val="00785A10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customStyle="1" w:styleId="a1">
    <w:name w:val="Основний текст"/>
    <w:basedOn w:val="a0"/>
    <w:rsid w:val="00785A10"/>
    <w:pPr>
      <w:spacing w:after="120"/>
    </w:pPr>
  </w:style>
  <w:style w:type="paragraph" w:styleId="a8">
    <w:name w:val="List"/>
    <w:basedOn w:val="a1"/>
    <w:rsid w:val="00785A10"/>
    <w:rPr>
      <w:rFonts w:cs="FreeSans"/>
    </w:rPr>
  </w:style>
  <w:style w:type="paragraph" w:customStyle="1" w:styleId="a9">
    <w:name w:val="Розділ"/>
    <w:basedOn w:val="a0"/>
    <w:rsid w:val="00785A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a">
    <w:name w:val="Покажчик"/>
    <w:basedOn w:val="a0"/>
    <w:rsid w:val="00785A10"/>
    <w:pPr>
      <w:suppressLineNumbers/>
    </w:pPr>
    <w:rPr>
      <w:rFonts w:cs="FreeSans"/>
    </w:rPr>
  </w:style>
  <w:style w:type="paragraph" w:styleId="ab">
    <w:name w:val="Normal (Web)"/>
    <w:basedOn w:val="a0"/>
    <w:rsid w:val="00785A10"/>
    <w:pPr>
      <w:spacing w:before="28" w:after="119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western">
    <w:name w:val="western"/>
    <w:basedOn w:val="a0"/>
    <w:rsid w:val="00785A10"/>
    <w:pPr>
      <w:spacing w:before="28" w:after="119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c">
    <w:name w:val="List Paragraph"/>
    <w:basedOn w:val="a0"/>
    <w:rsid w:val="00785A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10112</Words>
  <Characters>5764</Characters>
  <Application>Microsoft Office Word</Application>
  <DocSecurity>0</DocSecurity>
  <Lines>48</Lines>
  <Paragraphs>31</Paragraphs>
  <ScaleCrop>false</ScaleCrop>
  <Company>Hewlett-Packard</Company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Solja-Mia</cp:lastModifiedBy>
  <cp:revision>2</cp:revision>
  <dcterms:created xsi:type="dcterms:W3CDTF">2017-05-22T13:39:00Z</dcterms:created>
  <dcterms:modified xsi:type="dcterms:W3CDTF">2017-05-22T13:39:00Z</dcterms:modified>
</cp:coreProperties>
</file>