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2F9D9" w14:textId="233E8EBC" w:rsidR="00CD1B0A" w:rsidRPr="00A0480E" w:rsidRDefault="00C8147D" w:rsidP="00CD1B0A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Педагогічний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1CF9926" w:rsidR="006B3C38" w:rsidRPr="00A0480E" w:rsidRDefault="006B3C38">
      <w:pPr>
        <w:tabs>
          <w:tab w:val="left" w:pos="5406"/>
        </w:tabs>
        <w:spacing w:before="266"/>
        <w:ind w:left="2105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 (за професійним спрямуванням)</w:t>
      </w:r>
    </w:p>
    <w:p w14:paraId="5E23CFDC" w14:textId="2E0661D8" w:rsidR="005D74A1" w:rsidRDefault="00D9635B" w:rsidP="001A4B22">
      <w:pPr>
        <w:tabs>
          <w:tab w:val="left" w:pos="5406"/>
        </w:tabs>
        <w:spacing w:before="266"/>
        <w:ind w:firstLine="1985"/>
        <w:rPr>
          <w:sz w:val="28"/>
          <w:szCs w:val="28"/>
        </w:rPr>
      </w:pPr>
      <w:r w:rsidRPr="00A0480E">
        <w:rPr>
          <w:sz w:val="28"/>
        </w:rPr>
        <w:t>Освітня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програма</w:t>
      </w:r>
      <w:r w:rsidRPr="00A0480E">
        <w:rPr>
          <w:spacing w:val="-3"/>
          <w:sz w:val="28"/>
        </w:rPr>
        <w:t xml:space="preserve"> </w:t>
      </w:r>
      <w:r w:rsidR="00C8147D">
        <w:rPr>
          <w:sz w:val="28"/>
          <w:szCs w:val="28"/>
        </w:rPr>
        <w:t xml:space="preserve">Соціальна робота (Соціальна педагогіка)    </w:t>
      </w:r>
    </w:p>
    <w:p w14:paraId="12BA2030" w14:textId="77777777" w:rsidR="00220A30" w:rsidRPr="00A0480E" w:rsidRDefault="00220A30" w:rsidP="00220A30">
      <w:pPr>
        <w:tabs>
          <w:tab w:val="left" w:pos="5406"/>
        </w:tabs>
        <w:spacing w:before="266"/>
        <w:ind w:left="2105"/>
        <w:rPr>
          <w:sz w:val="20"/>
        </w:rPr>
      </w:pPr>
    </w:p>
    <w:p w14:paraId="1EEA14CC" w14:textId="316B814C" w:rsidR="005D74A1" w:rsidRPr="00A0480E" w:rsidRDefault="00220A30" w:rsidP="001A4B22">
      <w:pPr>
        <w:tabs>
          <w:tab w:val="left" w:pos="1985"/>
          <w:tab w:val="left" w:pos="4253"/>
        </w:tabs>
        <w:ind w:left="1560"/>
        <w:rPr>
          <w:sz w:val="28"/>
        </w:rPr>
      </w:pPr>
      <w:r>
        <w:rPr>
          <w:sz w:val="28"/>
        </w:rPr>
        <w:t xml:space="preserve">      </w:t>
      </w:r>
      <w:r w:rsidR="00D9635B" w:rsidRPr="00A0480E">
        <w:rPr>
          <w:sz w:val="28"/>
        </w:rPr>
        <w:t>Спеціальність</w:t>
      </w:r>
      <w:r w:rsidR="00D9635B" w:rsidRPr="00A0480E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    </w:t>
      </w:r>
      <w:r w:rsidR="00C8147D">
        <w:rPr>
          <w:sz w:val="28"/>
          <w:szCs w:val="28"/>
        </w:rPr>
        <w:t>231Соціальна робота</w:t>
      </w:r>
    </w:p>
    <w:p w14:paraId="152CA2D7" w14:textId="77777777" w:rsidR="005D74A1" w:rsidRPr="00A0480E" w:rsidRDefault="005D74A1">
      <w:pPr>
        <w:rPr>
          <w:sz w:val="20"/>
        </w:rPr>
      </w:pPr>
    </w:p>
    <w:p w14:paraId="442C2C2E" w14:textId="77777777" w:rsidR="00C8147D" w:rsidRPr="009029C5" w:rsidRDefault="00D9635B" w:rsidP="00C8147D">
      <w:pPr>
        <w:ind w:firstLine="1985"/>
        <w:rPr>
          <w:sz w:val="28"/>
          <w:szCs w:val="28"/>
        </w:rPr>
      </w:pPr>
      <w:r w:rsidRPr="00A0480E">
        <w:rPr>
          <w:sz w:val="28"/>
        </w:rPr>
        <w:t>Галузь</w:t>
      </w:r>
      <w:r w:rsidRPr="00A0480E">
        <w:rPr>
          <w:spacing w:val="-1"/>
          <w:sz w:val="28"/>
        </w:rPr>
        <w:t xml:space="preserve"> </w:t>
      </w:r>
      <w:r w:rsidRPr="00A0480E">
        <w:rPr>
          <w:sz w:val="28"/>
        </w:rPr>
        <w:t>знань</w:t>
      </w:r>
      <w:r w:rsidR="00220A30">
        <w:rPr>
          <w:sz w:val="28"/>
        </w:rPr>
        <w:t xml:space="preserve">       </w:t>
      </w:r>
      <w:r w:rsidRPr="00A0480E">
        <w:rPr>
          <w:spacing w:val="-2"/>
          <w:sz w:val="28"/>
        </w:rPr>
        <w:t xml:space="preserve"> </w:t>
      </w:r>
      <w:r w:rsidR="00C8147D">
        <w:rPr>
          <w:sz w:val="28"/>
          <w:szCs w:val="28"/>
        </w:rPr>
        <w:t>23 Соціальна робота</w:t>
      </w:r>
    </w:p>
    <w:p w14:paraId="6C6FC594" w14:textId="6DA7BD78" w:rsidR="005D74A1" w:rsidRPr="00A0480E" w:rsidRDefault="005D74A1" w:rsidP="001A4B22">
      <w:pPr>
        <w:tabs>
          <w:tab w:val="left" w:pos="5382"/>
        </w:tabs>
        <w:spacing w:before="89"/>
        <w:ind w:firstLine="198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AA7B224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6E69F919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4C85E505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Іноземна мова (за професійним спрямуванням)</w:t>
            </w:r>
          </w:p>
        </w:tc>
      </w:tr>
      <w:tr w:rsidR="00A0480E" w:rsidRPr="00A0480E" w14:paraId="40EE34A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42A147BF" w:rsidR="005D74A1" w:rsidRPr="00A0480E" w:rsidRDefault="00C8147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Соціальна робота (Соціальна педагогіка)    </w:t>
            </w:r>
          </w:p>
        </w:tc>
      </w:tr>
      <w:tr w:rsidR="00A0480E" w:rsidRPr="00A0480E" w14:paraId="0602E60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55A09043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6F4C1A79" w:rsidR="005D74A1" w:rsidRPr="00C8147D" w:rsidRDefault="00C8147D" w:rsidP="00C8147D">
            <w:pPr>
              <w:tabs>
                <w:tab w:val="left" w:pos="1985"/>
                <w:tab w:val="left" w:pos="4253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231Соціальна робота</w:t>
            </w:r>
          </w:p>
        </w:tc>
      </w:tr>
      <w:tr w:rsidR="00A0480E" w:rsidRPr="00A0480E" w14:paraId="733F77B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306DE1DC" w:rsidR="005D74A1" w:rsidRPr="00A0480E" w:rsidRDefault="00C8147D" w:rsidP="00C81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Соціальна робота</w:t>
            </w:r>
          </w:p>
        </w:tc>
      </w:tr>
      <w:tr w:rsidR="00A0480E" w:rsidRPr="00A0480E" w14:paraId="363C7087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5AC355EE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</w:t>
            </w:r>
            <w:r w:rsidR="00BC49C9">
              <w:rPr>
                <w:sz w:val="28"/>
                <w:szCs w:val="28"/>
              </w:rPr>
              <w:t>магістр</w:t>
            </w:r>
            <w:r w:rsidRPr="00A0480E">
              <w:rPr>
                <w:sz w:val="28"/>
                <w:szCs w:val="28"/>
              </w:rPr>
              <w:t>)</w:t>
            </w:r>
          </w:p>
        </w:tc>
      </w:tr>
      <w:tr w:rsidR="00A0480E" w:rsidRPr="00A0480E" w14:paraId="03752899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67333012" w:rsidR="005D74A1" w:rsidRPr="00A0480E" w:rsidRDefault="001A4B2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6516">
              <w:rPr>
                <w:sz w:val="28"/>
                <w:szCs w:val="28"/>
              </w:rPr>
              <w:t>/</w:t>
            </w:r>
            <w:r w:rsidR="0080470B">
              <w:rPr>
                <w:sz w:val="28"/>
                <w:szCs w:val="28"/>
              </w:rPr>
              <w:t>1</w:t>
            </w:r>
          </w:p>
        </w:tc>
      </w:tr>
      <w:tr w:rsidR="00A0480E" w:rsidRPr="00A0480E" w14:paraId="492EDA77" w14:textId="77777777" w:rsidTr="005C450A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478E1867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</w:t>
            </w:r>
            <w:r w:rsidR="00282E66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6CB18031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282E66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5C450A" w:rsidRPr="00A0480E" w14:paraId="4188AE9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5C450A" w:rsidRPr="00A0480E" w:rsidRDefault="005C450A" w:rsidP="005C450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6885203F" w:rsidR="005C450A" w:rsidRPr="00A0480E" w:rsidRDefault="005C450A" w:rsidP="005C45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5C450A" w:rsidRPr="00A0480E" w14:paraId="340BAD82" w14:textId="77777777" w:rsidTr="005C450A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5C450A" w:rsidRPr="00A0480E" w:rsidRDefault="005C450A" w:rsidP="005C450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5C450A" w:rsidRPr="00A0480E" w:rsidRDefault="005C450A" w:rsidP="005C4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5632ED1F" w:rsidR="005C450A" w:rsidRPr="00A0480E" w:rsidRDefault="005C450A" w:rsidP="005C450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5A22CA" w:rsidRPr="00A0480E" w14:paraId="6150606B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606456" w14:textId="77777777" w:rsidR="005A22CA" w:rsidRPr="00A0480E" w:rsidRDefault="005A22CA" w:rsidP="005B7995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1EF61355" w14:textId="77777777" w:rsidR="005A22CA" w:rsidRPr="00A0480E" w:rsidRDefault="005A22CA" w:rsidP="005B7995">
            <w:pPr>
              <w:pStyle w:val="TableParagraph"/>
              <w:ind w:firstLine="510"/>
              <w:jc w:val="both"/>
              <w:rPr>
                <w:sz w:val="28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</w:t>
            </w:r>
            <w:r w:rsidRPr="00A0480E">
              <w:rPr>
                <w:rFonts w:eastAsia="TimesNewRomanPSMT"/>
                <w:sz w:val="24"/>
                <w:szCs w:val="24"/>
              </w:rPr>
              <w:t xml:space="preserve"> (за професійним спрямуванням)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</w:tc>
      </w:tr>
      <w:tr w:rsidR="005A22CA" w:rsidRPr="00A0480E" w14:paraId="4D391618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38FE015" w14:textId="77777777" w:rsidR="005A22CA" w:rsidRPr="00A0480E" w:rsidRDefault="005A22CA" w:rsidP="005B799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21945F18" w14:textId="77777777" w:rsidR="005A22CA" w:rsidRPr="00A0480E" w:rsidRDefault="005A22CA" w:rsidP="005B7995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5410F0E9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 xml:space="preserve"> </w:t>
            </w:r>
            <w:r w:rsidRPr="000B15B6">
              <w:rPr>
                <w:sz w:val="24"/>
                <w:szCs w:val="24"/>
              </w:rPr>
              <w:t xml:space="preserve">1. Здатність до абстрактного мислення, аналізу та синтезу. </w:t>
            </w:r>
          </w:p>
          <w:p w14:paraId="28F708A4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2. Здатність розробляти і управляти проектами. </w:t>
            </w:r>
          </w:p>
          <w:p w14:paraId="281347EF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3. Здатність оцінювати та забезпечувати якість виконуваних робіт. </w:t>
            </w:r>
          </w:p>
          <w:p w14:paraId="06BB52D3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4. Здатність спілкуватися іноземною мовою. </w:t>
            </w:r>
          </w:p>
          <w:p w14:paraId="5B652891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5. Здатність проведення досліджень на відповідному рівні. </w:t>
            </w:r>
          </w:p>
          <w:p w14:paraId="52D21A31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6. Здатність виявляти ініціативу та підприємливість. </w:t>
            </w:r>
          </w:p>
          <w:p w14:paraId="6143A9A2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7. Здатність до адаптації та дії в новій ситуації. </w:t>
            </w:r>
          </w:p>
          <w:p w14:paraId="7BCF91E7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8. Здатність генерувати нові ідеї (креативність). </w:t>
            </w:r>
          </w:p>
          <w:p w14:paraId="651D33E4" w14:textId="77777777" w:rsidR="005A22CA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9. Навички міжособистісної взаємодії. </w:t>
            </w:r>
          </w:p>
          <w:p w14:paraId="2C5C9E1A" w14:textId="77777777" w:rsidR="005A22CA" w:rsidRPr="00A0480E" w:rsidRDefault="005A22CA" w:rsidP="005B7995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10. Здатність працювати в команді. </w:t>
            </w:r>
          </w:p>
          <w:p w14:paraId="782A10FA" w14:textId="77777777" w:rsidR="005A22CA" w:rsidRPr="00A0480E" w:rsidRDefault="005A22CA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00DA363E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7. Здатність до професійної рефлексії. </w:t>
            </w:r>
          </w:p>
          <w:p w14:paraId="4E5F9FE5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8. Здатність до спільної діяльності та групової мотивації, </w:t>
            </w:r>
            <w:proofErr w:type="spellStart"/>
            <w:r w:rsidRPr="000B15B6">
              <w:rPr>
                <w:rFonts w:eastAsia="Arial Unicode MS"/>
                <w:sz w:val="24"/>
                <w:szCs w:val="24"/>
              </w:rPr>
              <w:t>фасилітації</w:t>
            </w:r>
            <w:proofErr w:type="spellEnd"/>
            <w:r w:rsidRPr="000B15B6">
              <w:rPr>
                <w:rFonts w:eastAsia="Arial Unicode MS"/>
                <w:sz w:val="24"/>
                <w:szCs w:val="24"/>
              </w:rPr>
              <w:t xml:space="preserve"> процесів прийняття групових рішень. </w:t>
            </w:r>
          </w:p>
          <w:p w14:paraId="4585F6F3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9. Здатність доводити знання та власні висновки до фахівців та нефахівців.  </w:t>
            </w:r>
          </w:p>
          <w:p w14:paraId="3F5F96A7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13. Здатність до формування позитивного іміджу професії, її статусу в суспільстві. </w:t>
            </w:r>
          </w:p>
          <w:p w14:paraId="51235E5B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16. Здатність упроваджувати результати наукового пошуку в практичну діяльність. Додатково для </w:t>
            </w:r>
            <w:proofErr w:type="spellStart"/>
            <w:r w:rsidRPr="000B15B6">
              <w:rPr>
                <w:rFonts w:eastAsia="Arial Unicode MS"/>
                <w:sz w:val="24"/>
                <w:szCs w:val="24"/>
              </w:rPr>
              <w:t>освітньо</w:t>
            </w:r>
            <w:proofErr w:type="spellEnd"/>
            <w:r w:rsidRPr="000B15B6">
              <w:rPr>
                <w:rFonts w:eastAsia="Arial Unicode MS"/>
                <w:sz w:val="24"/>
                <w:szCs w:val="24"/>
              </w:rPr>
              <w:t xml:space="preserve">-наукових програм: </w:t>
            </w:r>
          </w:p>
          <w:p w14:paraId="54E7B328" w14:textId="77777777" w:rsidR="005A22CA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 xml:space="preserve">15.* Здатність до оволодіння навичками самостійного опанування новими знаннями, використовуючи сучасні освітні та дослідницькі технології у соціальній сфері. </w:t>
            </w:r>
          </w:p>
          <w:p w14:paraId="57D0E729" w14:textId="77777777" w:rsidR="005A22CA" w:rsidRPr="000B15B6" w:rsidRDefault="005A22CA" w:rsidP="005B7995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B15B6">
              <w:rPr>
                <w:rFonts w:eastAsia="Arial Unicode MS"/>
                <w:sz w:val="24"/>
                <w:szCs w:val="24"/>
              </w:rPr>
              <w:t>16.* Здатність до узагальнення результатів власних наукових досліджень та їх оприлюднення у формі наукових звітів (тез, статей, доповідей тощо).</w:t>
            </w:r>
          </w:p>
          <w:p w14:paraId="044103BD" w14:textId="77777777" w:rsidR="005A22CA" w:rsidRPr="00A0480E" w:rsidRDefault="005A22CA" w:rsidP="005B799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A22CA" w:rsidRPr="00A0480E" w14:paraId="09357C45" w14:textId="77777777" w:rsidTr="005B7995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211658C" w14:textId="77777777" w:rsidR="005A22CA" w:rsidRPr="00A0480E" w:rsidRDefault="005A22CA" w:rsidP="005B7995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107162A3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B15B6">
              <w:rPr>
                <w:sz w:val="24"/>
                <w:szCs w:val="24"/>
                <w:lang w:eastAsia="ru-RU"/>
              </w:rPr>
              <w:t>3. Застосовувати іноземні джерела при виконанні завдань науково-дослідної та прикладної діяльності, висловлюватися іноземною мовою, як усно, так і письмово.</w:t>
            </w:r>
          </w:p>
          <w:p w14:paraId="68E1B239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8. </w:t>
            </w:r>
            <w:proofErr w:type="spellStart"/>
            <w:r w:rsidRPr="000B15B6">
              <w:rPr>
                <w:sz w:val="24"/>
                <w:szCs w:val="24"/>
              </w:rPr>
              <w:t>Автономно</w:t>
            </w:r>
            <w:proofErr w:type="spellEnd"/>
            <w:r w:rsidRPr="000B15B6">
              <w:rPr>
                <w:sz w:val="24"/>
                <w:szCs w:val="24"/>
              </w:rPr>
              <w:t xml:space="preserve"> приймати рішення в складних і непередбачуваних ситуаціях.</w:t>
            </w:r>
          </w:p>
          <w:p w14:paraId="357F1896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>13. Демонструвати ініціативу, самостійність, оригінальність, генерувати нові ідеї для розв’язання завдань професійної діяльності.</w:t>
            </w:r>
          </w:p>
          <w:p w14:paraId="67DF1133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>17. Самостійно будувати та підтримувати цілеспрямовані, професійні взаємини з широким колом людей, представниками різних спільнот і організацій, аргументувати, переконувати, вести конструктивні переговори, результативні бесіди, дискусії, толерантно ставитися до альтернативних думок.</w:t>
            </w:r>
          </w:p>
          <w:p w14:paraId="73A3C224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>18. Демонструвати позитивне ставлення до власної професії та відповідати своєю поведінкою етичним принципам і стандартам соціальної роботи.</w:t>
            </w:r>
          </w:p>
          <w:p w14:paraId="6C5BDF81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>20. Упроваджувати результати наукового пошуку в практичну діяльність.</w:t>
            </w:r>
          </w:p>
          <w:p w14:paraId="1B9A3E98" w14:textId="77777777" w:rsidR="005A22CA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 xml:space="preserve">Додатково для </w:t>
            </w:r>
            <w:proofErr w:type="spellStart"/>
            <w:r w:rsidRPr="000B15B6">
              <w:rPr>
                <w:sz w:val="24"/>
                <w:szCs w:val="24"/>
              </w:rPr>
              <w:t>освітньо</w:t>
            </w:r>
            <w:proofErr w:type="spellEnd"/>
            <w:r w:rsidRPr="000B15B6">
              <w:rPr>
                <w:sz w:val="24"/>
                <w:szCs w:val="24"/>
              </w:rPr>
              <w:t>-наукових програм:</w:t>
            </w:r>
          </w:p>
          <w:p w14:paraId="076001E6" w14:textId="77777777" w:rsidR="005A22CA" w:rsidRPr="00A0480E" w:rsidRDefault="005A22CA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0B15B6">
              <w:rPr>
                <w:sz w:val="24"/>
                <w:szCs w:val="24"/>
              </w:rPr>
              <w:t>20.*  Узагальнювати результати власних наукових досліджень та оприлюднювати їх у формі наукових звітів (тез, статей, доповідей тощо).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3CC69673" w14:textId="29868A67" w:rsidR="00847E2D" w:rsidRDefault="00847E2D">
      <w:pPr>
        <w:spacing w:before="8"/>
        <w:rPr>
          <w:b/>
          <w:sz w:val="27"/>
        </w:rPr>
      </w:pPr>
    </w:p>
    <w:p w14:paraId="547AA1CE" w14:textId="7F9E4615" w:rsidR="00847E2D" w:rsidRDefault="00847E2D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4678"/>
        <w:gridCol w:w="2451"/>
      </w:tblGrid>
      <w:tr w:rsidR="00A0480E" w:rsidRPr="00A0480E" w14:paraId="2692D4CA" w14:textId="77777777" w:rsidTr="00C8147D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1907" w:type="dxa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67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764D65EA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F24348" w14:textId="1CB442A8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</w:t>
            </w:r>
            <w:r w:rsidR="00DD65CA" w:rsidRPr="00A0480E">
              <w:rPr>
                <w:sz w:val="24"/>
                <w:szCs w:val="24"/>
                <w:lang w:eastAsia="ru-RU"/>
              </w:rPr>
              <w:t xml:space="preserve"> (діалогічне та монологічне мовлення)</w:t>
            </w:r>
            <w:r w:rsidRPr="00A0480E">
              <w:rPr>
                <w:sz w:val="24"/>
                <w:szCs w:val="24"/>
                <w:lang w:eastAsia="ru-RU"/>
              </w:rPr>
              <w:t>;</w:t>
            </w:r>
          </w:p>
          <w:p w14:paraId="143D958E" w14:textId="2BCE60E1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</w:t>
            </w:r>
            <w:r w:rsidR="00DD65CA" w:rsidRPr="00A0480E">
              <w:rPr>
                <w:sz w:val="24"/>
                <w:szCs w:val="24"/>
                <w:lang w:eastAsia="ru-RU"/>
              </w:rPr>
              <w:t>;</w:t>
            </w:r>
          </w:p>
          <w:p w14:paraId="4FE833FE" w14:textId="563EB032" w:rsidR="00DD65CA" w:rsidRPr="00A0480E" w:rsidRDefault="00DD65C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DF27D74" w14:textId="481ECED9" w:rsidR="005D74A1" w:rsidRPr="00A0480E" w:rsidRDefault="0068331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70A47AF4" w14:textId="0B7F3B1F" w:rsidR="00DD65CA" w:rsidRPr="00A0480E" w:rsidRDefault="0068331A" w:rsidP="000D5611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0D5611">
              <w:rPr>
                <w:bCs/>
                <w:sz w:val="24"/>
                <w:szCs w:val="24"/>
                <w:lang w:eastAsia="ru-RU"/>
              </w:rPr>
              <w:t>граматичні структури англійської мови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E94D32">
        <w:trPr>
          <w:trHeight w:val="471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2447D488" w:rsidR="001C3D7A" w:rsidRPr="00220A30" w:rsidRDefault="00220A3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220A30">
              <w:rPr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69977DDE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6D567E54" w14:textId="4B540E62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1A49ED5" w14:textId="25423EF7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</w:t>
            </w:r>
            <w:r w:rsidR="008F4C32" w:rsidRPr="00A048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9766357" w14:textId="403B5948" w:rsidR="008F4C32" w:rsidRDefault="008F4C32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E8711DA" w14:textId="7864710C" w:rsidR="001C3D7A" w:rsidRPr="00E94D32" w:rsidRDefault="002A25FA" w:rsidP="00E94D32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вміти писати резюме;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CC28D36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Діловий етикет.  Типові </w:t>
            </w:r>
            <w:proofErr w:type="spellStart"/>
            <w:r w:rsidRPr="00220A30">
              <w:rPr>
                <w:sz w:val="24"/>
                <w:szCs w:val="24"/>
              </w:rPr>
              <w:t>мовні</w:t>
            </w:r>
            <w:proofErr w:type="spellEnd"/>
            <w:r w:rsidRPr="00220A30">
              <w:rPr>
                <w:sz w:val="24"/>
                <w:szCs w:val="24"/>
              </w:rPr>
              <w:t xml:space="preserve"> фрази для презентації себе і знайомства з іншими.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09DB3D2F" w14:textId="37BDB57B" w:rsidR="002A25FA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представ</w:t>
            </w:r>
            <w:r w:rsidR="00C8147D">
              <w:rPr>
                <w:sz w:val="24"/>
                <w:szCs w:val="24"/>
                <w:lang w:eastAsia="ru-RU"/>
              </w:rPr>
              <w:t>ля</w:t>
            </w:r>
            <w:r>
              <w:rPr>
                <w:sz w:val="24"/>
                <w:szCs w:val="24"/>
                <w:lang w:eastAsia="ru-RU"/>
              </w:rPr>
              <w:t>ти себе та оточуючих;</w:t>
            </w:r>
          </w:p>
          <w:p w14:paraId="4ED0765B" w14:textId="49D84BA8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FEF2963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Ділові зустрічі. Граматичні особливості </w:t>
            </w:r>
            <w:r w:rsidRPr="00220A30">
              <w:rPr>
                <w:sz w:val="24"/>
                <w:szCs w:val="24"/>
              </w:rPr>
              <w:lastRenderedPageBreak/>
              <w:t>фахово-орієнтованого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перекладати та переказувати від першої та 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4E792BFE" w:rsidR="001C3D7A" w:rsidRPr="00220A30" w:rsidRDefault="00220A3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 xml:space="preserve">Засоби комунікації. </w:t>
            </w:r>
            <w:r w:rsidRPr="00220A30">
              <w:rPr>
                <w:sz w:val="24"/>
                <w:szCs w:val="24"/>
              </w:rPr>
              <w:t>Виконання лексико-граматичних вправ.</w:t>
            </w:r>
            <w:r w:rsidR="00BC49C9"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E94D32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25EDB95D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Сучасна ділова кореспонденція.</w:t>
            </w:r>
            <w:r w:rsidRPr="00220A30">
              <w:rPr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FA91B58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23C7FCBF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 xml:space="preserve">Телефонний етикет. </w:t>
            </w:r>
            <w:proofErr w:type="spellStart"/>
            <w:r w:rsidRPr="00220A30">
              <w:rPr>
                <w:bCs/>
                <w:sz w:val="24"/>
                <w:szCs w:val="24"/>
              </w:rPr>
              <w:t>Мовні</w:t>
            </w:r>
            <w:proofErr w:type="spellEnd"/>
            <w:r w:rsidRPr="00220A30">
              <w:rPr>
                <w:bCs/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побутовому та професійному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7383F507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4FE39F9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2B7EC897" w:rsidR="001C3D7A" w:rsidRPr="000D5611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D0D13A8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Наукове спілкування.</w:t>
            </w:r>
            <w:r w:rsidRPr="00220A30">
              <w:rPr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26C2074A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1A4B22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</w:t>
            </w:r>
            <w:r w:rsidRPr="00220A30">
              <w:rPr>
                <w:sz w:val="24"/>
                <w:szCs w:val="24"/>
              </w:rPr>
              <w:lastRenderedPageBreak/>
              <w:t>активної лексики 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0A3B8D94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00284C88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E94D32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03AC709F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BC49C9">
              <w:rPr>
                <w:bCs/>
                <w:iCs/>
                <w:sz w:val="24"/>
                <w:szCs w:val="24"/>
                <w:lang w:val="ru-RU"/>
              </w:rPr>
              <w:t>1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2B4005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2B4005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2B4005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2B4005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2B4005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567BAA58" w14:textId="77777777" w:rsidR="00C8147D" w:rsidRPr="00A0480E" w:rsidRDefault="00C8147D" w:rsidP="00C8147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>
              <w:rPr>
                <w:sz w:val="24"/>
                <w:szCs w:val="24"/>
                <w:lang w:eastAsia="ru-RU"/>
              </w:rPr>
              <w:t>Бандери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  <w:p w14:paraId="40354082" w14:textId="6142C9B5" w:rsidR="005D74A1" w:rsidRPr="00A0480E" w:rsidRDefault="00C8147D" w:rsidP="00C8147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>
              <w:rPr>
                <w:sz w:val="24"/>
                <w:szCs w:val="24"/>
              </w:rPr>
              <w:t>75</w:t>
            </w:r>
            <w:r w:rsidRPr="00A0480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09</w:t>
            </w:r>
            <w:r w:rsidRPr="00A0480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12</w:t>
            </w:r>
            <w:r w:rsidRPr="00A0480E">
              <w:rPr>
                <w:sz w:val="24"/>
                <w:szCs w:val="24"/>
                <w:lang w:val="ru-RU"/>
              </w:rPr>
              <w:t>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</w:t>
            </w:r>
            <w:r>
              <w:rPr>
                <w:rStyle w:val="aa"/>
                <w:color w:val="auto"/>
                <w:sz w:val="24"/>
                <w:szCs w:val="24"/>
                <w:lang w:val="en-US" w:eastAsia="ru-RU"/>
              </w:rPr>
              <w:t>ppo</w:t>
            </w:r>
            <w:proofErr w:type="spellEnd"/>
            <w:r w:rsidR="005A22CA">
              <w:fldChar w:fldCharType="begin"/>
            </w:r>
            <w:r w:rsidR="005A22CA">
              <w:instrText xml:space="preserve"> HYPERLINK "mailto:vstup@onua.edu.ua" </w:instrText>
            </w:r>
            <w:r w:rsidR="005A22CA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5A22CA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20615643" w14:textId="77777777" w:rsidR="00C8147D" w:rsidRPr="00A0480E" w:rsidRDefault="00C8147D" w:rsidP="00C8147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Деркачова Ольга Сергіївна</w:t>
            </w:r>
          </w:p>
          <w:p w14:paraId="1B9DA0C5" w14:textId="51371B49" w:rsidR="005D74A1" w:rsidRPr="00C8147D" w:rsidRDefault="00C8147D" w:rsidP="00C81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професор</w:t>
            </w:r>
            <w:r w:rsidRPr="00A0480E">
              <w:rPr>
                <w:sz w:val="24"/>
                <w:szCs w:val="24"/>
                <w:lang w:eastAsia="ru-RU"/>
              </w:rPr>
              <w:t xml:space="preserve"> кафедри </w:t>
            </w:r>
            <w:r w:rsidRPr="004E784B">
              <w:rPr>
                <w:sz w:val="24"/>
                <w:szCs w:val="24"/>
                <w:lang w:eastAsia="ru-RU"/>
              </w:rPr>
              <w:t>педагогіки початкової освіти Прикарпатського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4E784B">
              <w:rPr>
                <w:sz w:val="24"/>
                <w:szCs w:val="24"/>
                <w:lang w:eastAsia="ru-RU"/>
              </w:rPr>
              <w:t>н</w:t>
            </w:r>
            <w:r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Pr="004E784B">
              <w:rPr>
                <w:sz w:val="24"/>
                <w:szCs w:val="24"/>
              </w:rPr>
              <w:t>ім.В.Стефаника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доктор</w:t>
            </w:r>
            <w:r w:rsidRPr="00A0480E">
              <w:rPr>
                <w:sz w:val="24"/>
                <w:szCs w:val="24"/>
                <w:lang w:eastAsia="ru-RU"/>
              </w:rPr>
              <w:t xml:space="preserve"> філологічних наук;</w:t>
            </w:r>
          </w:p>
        </w:tc>
      </w:tr>
      <w:tr w:rsidR="005D74A1" w:rsidRPr="00A0480E" w14:paraId="47281F6A" w14:textId="77777777" w:rsidTr="00C8147D">
        <w:trPr>
          <w:trHeight w:val="26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6F045632" w:rsidR="00F20793" w:rsidRPr="00A0480E" w:rsidRDefault="002B4005" w:rsidP="00C8147D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hyperlink r:id="rId14" w:history="1"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olha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derkachova</w:t>
              </w:r>
              <w:r w:rsidR="00C8147D" w:rsidRPr="0021518D">
                <w:rPr>
                  <w:rStyle w:val="aa"/>
                  <w:sz w:val="24"/>
                  <w:szCs w:val="24"/>
                </w:rPr>
                <w:t>@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5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0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616735D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2B7617">
        <w:rPr>
          <w:b w:val="0"/>
          <w:bCs w:val="0"/>
        </w:rPr>
        <w:t>Деркачова О.С.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D5611"/>
    <w:rsid w:val="001A4B22"/>
    <w:rsid w:val="001C3D7A"/>
    <w:rsid w:val="00220A30"/>
    <w:rsid w:val="00282E66"/>
    <w:rsid w:val="002A25FA"/>
    <w:rsid w:val="002B4005"/>
    <w:rsid w:val="002B7617"/>
    <w:rsid w:val="0044367C"/>
    <w:rsid w:val="004B202C"/>
    <w:rsid w:val="004D7E8B"/>
    <w:rsid w:val="00590774"/>
    <w:rsid w:val="005A22CA"/>
    <w:rsid w:val="005C450A"/>
    <w:rsid w:val="005D74A1"/>
    <w:rsid w:val="0068331A"/>
    <w:rsid w:val="006B3C38"/>
    <w:rsid w:val="00722B9E"/>
    <w:rsid w:val="0080470B"/>
    <w:rsid w:val="00805F46"/>
    <w:rsid w:val="00847E2D"/>
    <w:rsid w:val="008F4C32"/>
    <w:rsid w:val="00A0480E"/>
    <w:rsid w:val="00B66516"/>
    <w:rsid w:val="00BC49C9"/>
    <w:rsid w:val="00C15569"/>
    <w:rsid w:val="00C8147D"/>
    <w:rsid w:val="00CC1A07"/>
    <w:rsid w:val="00CD1B0A"/>
    <w:rsid w:val="00D43190"/>
    <w:rsid w:val="00D9635B"/>
    <w:rsid w:val="00DA6E83"/>
    <w:rsid w:val="00DD65CA"/>
    <w:rsid w:val="00E94D32"/>
    <w:rsid w:val="00EE2401"/>
    <w:rsid w:val="00EF7D66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mailto:olha.derkachova@pnu.edu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17803</Words>
  <Characters>10149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23</cp:revision>
  <dcterms:created xsi:type="dcterms:W3CDTF">2023-01-24T13:55:00Z</dcterms:created>
  <dcterms:modified xsi:type="dcterms:W3CDTF">2023-01-27T21:55:00Z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