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000000" w:rsidRPr="00000000" w:rsidP="00000000" w14:paraId="00000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МІНІСТЕРСТВО ОСВІТИ І НАУКИ УКРАЇНИ</w:t>
      </w:r>
    </w:p>
    <w:p w:rsidR="00000000" w:rsidRPr="00000000" w:rsidP="00000000" w14:paraId="00000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ПРИКАРПАТСЬКИЙ НАЦІОНАЛЬНИЙ УНІВЕРСИТЕТ</w:t>
      </w:r>
    </w:p>
    <w:p w:rsidR="00000000" w:rsidRPr="00000000" w:rsidP="00000000" w14:paraId="00000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 ІМЕНІ ВАСИЛЯ СТЕФАНИКА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1256030" cy="1256030"/>
            <wp:effectExtent l="0" t="0" r="0" b="0"/>
            <wp:docPr id="3" name="image1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Символіка – Прикарпатський національний університет імені Василя Стефаника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Факультет математики та інформатики</w:t>
      </w:r>
    </w:p>
    <w:p w:rsidR="00000000" w:rsidRPr="00000000" w:rsidP="00000000" w14:paraId="000000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Кафедра іноземних мов</w:t>
      </w:r>
    </w:p>
    <w:p w:rsidR="00000000" w:rsidRPr="00000000" w:rsidP="00000000" w14:paraId="000000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  <w:br/>
      </w:r>
    </w:p>
    <w:p w:rsidR="00000000" w:rsidRPr="00000000" w:rsidP="00000000" w14:paraId="0000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СИЛАБУС НАВЧАЛЬНОЇ ДИСЦИПЛІНИ</w:t>
      </w:r>
    </w:p>
    <w:p w:rsidR="00000000" w:rsidRPr="00000000" w:rsidP="00000000" w14:paraId="00000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rtl w:val="0"/>
        </w:rPr>
        <w:t> </w:t>
      </w: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«ІНОЗЕМНА МОВА»</w:t>
      </w:r>
    </w:p>
    <w:p w:rsidR="00000000" w:rsidRPr="00000000" w:rsidP="00000000" w14:paraId="0000000D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E">
      <w:pPr>
        <w:tabs>
          <w:tab w:val="left" w:pos="3828"/>
          <w:tab w:val="center" w:pos="5670"/>
          <w:tab w:val="right" w:pos="8080"/>
        </w:tabs>
        <w:spacing w:line="312" w:lineRule="auto"/>
        <w:ind w:left="156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Освітня програма:       «Прикладна математика»</w:t>
      </w:r>
    </w:p>
    <w:p w:rsidR="00000000" w:rsidRPr="00000000" w:rsidP="00000000" w14:paraId="0000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                                        Перший (бакалаврський) рівень</w:t>
      </w:r>
    </w:p>
    <w:p w:rsidR="00000000" w:rsidRPr="00000000" w:rsidP="00000000" w14:paraId="00000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1">
      <w:pPr>
        <w:spacing w:after="0" w:line="240" w:lineRule="auto"/>
        <w:ind w:left="144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Спеціальність:</w:t>
      </w: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 xml:space="preserve"> </w:t>
        <w:tab/>
        <w:tab/>
      </w: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113 Прикладна математика</w:t>
      </w:r>
    </w:p>
    <w:p w:rsidR="00000000" w:rsidRPr="00000000" w:rsidP="00000000" w14:paraId="0000001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Pr="00000000" w:rsidP="00000000" w14:paraId="00000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                    </w:t>
        <w:tab/>
        <w:t xml:space="preserve">Галузь знань:  </w:t>
        <w:tab/>
        <w:tab/>
      </w:r>
      <w:r w:rsidRPr="00000000">
        <w:rPr>
          <w:rFonts w:ascii="Times New Roman" w:eastAsia="Times New Roman" w:hAnsi="Times New Roman" w:cs="Times New Roman"/>
          <w:color w:val="000000"/>
          <w:sz w:val="24"/>
          <w:szCs w:val="24"/>
          <w:rtl w:val="0"/>
        </w:rPr>
        <w:t> </w:t>
      </w: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11 Математика та статистика</w:t>
      </w:r>
    </w:p>
    <w:p w:rsidR="00000000" w:rsidRPr="00000000" w:rsidP="00000000" w14:paraId="0000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 </w:t>
      </w:r>
    </w:p>
    <w:p w:rsidR="00000000" w:rsidRPr="00000000" w:rsidP="00000000" w14:paraId="000000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br/>
        <w:br/>
        <w:br/>
      </w:r>
    </w:p>
    <w:p w:rsidR="00000000" w:rsidRPr="00000000" w:rsidP="00000000" w14:paraId="00000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Затверджено на засіданні кафедри</w:t>
      </w:r>
    </w:p>
    <w:p w:rsidR="00000000" w:rsidRPr="00000000" w:rsidP="00000000" w14:paraId="000000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Протокол № 1 від “29” серпня 2022 р.  </w:t>
      </w:r>
    </w:p>
    <w:p w:rsidR="00000000" w:rsidRPr="00000000" w:rsidP="00000000" w14:paraId="000000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м. Івано-Франківськ – 2022</w:t>
      </w:r>
    </w:p>
    <w:p w:rsidR="00000000" w:rsidRPr="00000000" w:rsidP="00000000" w14:paraId="00000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ЗМІСТ</w:t>
      </w:r>
    </w:p>
    <w:p w:rsidR="00000000" w:rsidRPr="00000000" w:rsidP="00000000" w14:paraId="00000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1. Загальна інформація</w:t>
      </w:r>
    </w:p>
    <w:p w:rsidR="00000000" w:rsidRPr="00000000" w:rsidP="00000000" w14:paraId="00000024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2. Опис дисципліни</w:t>
      </w:r>
    </w:p>
    <w:p w:rsidR="00000000" w:rsidRPr="00000000" w:rsidP="00000000" w14:paraId="00000025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3. Структура курсу </w:t>
      </w:r>
    </w:p>
    <w:p w:rsidR="00000000" w:rsidRPr="00000000" w:rsidP="00000000" w14:paraId="00000026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4. Система оцінювання курсу</w:t>
      </w:r>
    </w:p>
    <w:p w:rsidR="00000000" w:rsidRPr="00000000" w:rsidP="00000000" w14:paraId="00000027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5. Оцінювання відповідно до графіку навчального процесу </w:t>
        <w:tab/>
        <w:tab/>
      </w:r>
    </w:p>
    <w:p w:rsidR="00000000" w:rsidRPr="00000000" w:rsidP="00000000" w14:paraId="00000028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6. Ресурсне забезпечення</w:t>
      </w:r>
    </w:p>
    <w:p w:rsidR="00000000" w:rsidRPr="00000000" w:rsidP="00000000" w14:paraId="00000029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7. Контактна інформація</w:t>
      </w:r>
    </w:p>
    <w:p w:rsidR="00000000" w:rsidRPr="00000000" w:rsidP="00000000" w14:paraId="0000002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>8. Політика навчальної дисципліни</w:t>
      </w:r>
    </w:p>
    <w:p w:rsidR="00000000" w:rsidRPr="00000000" w:rsidP="00000000" w14:paraId="0000002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000">
        <w:br w:type="page"/>
      </w:r>
    </w:p>
    <w:p w:rsidR="00000000" w:rsidRPr="00000000" w:rsidP="00000000" w14:paraId="0000002C">
      <w:pPr>
        <w:spacing w:after="240" w:line="240" w:lineRule="auto"/>
        <w:ind w:left="567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1. Загальна інформація</w:t>
      </w:r>
    </w:p>
    <w:tbl>
      <w:tblPr>
        <w:tblStyle w:val="Table1"/>
        <w:tblW w:w="9679" w:type="dxa"/>
        <w:jc w:val="left"/>
        <w:tblLayout w:type="fixed"/>
        <w:tblLook w:val="0400"/>
      </w:tblPr>
      <w:tblGrid>
        <w:gridCol w:w="4701"/>
        <w:gridCol w:w="4978"/>
      </w:tblGrid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Назва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Іноземна мова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Освітня програма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Прикладна математика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rHeight w:val="805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Спеціалізації (за наявності)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Спеціальність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113 Прикладна математика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Галузь знань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11 Математика та статистика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Освітній рівень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Бакалавр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Статус дисципліни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Нормативна дисципліна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Курс /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1/1, 2 семестри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Розподіл за видами занять та годинами навчання (якщо передбачені інші види, додати)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Практичні заняття – 60 год.</w:t>
            </w:r>
          </w:p>
          <w:p w:rsidR="00000000" w:rsidRPr="00000000" w:rsidP="00000000" w14:paraId="0000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 – 120 год.</w:t>
            </w:r>
          </w:p>
          <w:p w:rsidR="00000000" w:rsidRPr="00000000" w:rsidP="00000000" w14:paraId="0000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залік 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Мова викладання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Англійська</w:t>
            </w:r>
          </w:p>
        </w:tc>
      </w:tr>
      <w:tr>
        <w:tblPrEx>
          <w:tblW w:w="967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Посилання на сайт дистанційного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Pr="00000000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  <w:rtl w:val="0"/>
                </w:rPr>
                <w:t>https://d-learn.pro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2. Опис дисципліни</w:t>
      </w:r>
    </w:p>
    <w:tbl>
      <w:tblPr>
        <w:tblStyle w:val="Table2"/>
        <w:tblW w:w="9629" w:type="dxa"/>
        <w:jc w:val="left"/>
        <w:tblLayout w:type="fixed"/>
        <w:tblLook w:val="0400"/>
      </w:tblPr>
      <w:tblGrid>
        <w:gridCol w:w="9629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студентів. Програма «Іноземна мова» розрахована на студентів бакалаврської програми. Навчальна програма передбачає систематизацію знань студентів з англійської мови в усіх її аспектах в рамках компетентнісного підходу.</w:t>
            </w:r>
          </w:p>
          <w:p w:rsidR="00000000" w:rsidRPr="00000000" w:rsidP="00000000" w14:paraId="0000004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Навчальна програма відповідає радикальним змінам, що здійснюються в національній системі вищої освіти в Україні, які були започатковані процесом інтеграції країни в європейський простір вищої освіти.</w:t>
            </w:r>
          </w:p>
          <w:p w:rsidR="00000000" w:rsidRPr="00000000" w:rsidP="00000000" w14:paraId="0000004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709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:rsidR="00000000" w:rsidRPr="00000000" w:rsidP="00000000" w14:paraId="0000004A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Навчальна програма  базується на принципах плюрилінгвізму, демократії та інновацій.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Розвинути компетентності:</w:t>
            </w:r>
          </w:p>
          <w:p w:rsidR="00000000" w:rsidRPr="00000000" w:rsidP="00000000" w14:paraId="00000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 xml:space="preserve">ЗКО9. Здатність спілкуватися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з 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п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р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едставниками інших 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професійних груп р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зного 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р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 xml:space="preserve">вня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(з експертами </w:t>
            </w:r>
            <w:r w:rsidRPr="00000000">
              <w:rPr>
                <w:rFonts w:ascii="Times New Roman" w:eastAsia="Times New Roman" w:hAnsi="Times New Roman" w:cs="Times New Roman"/>
                <w:color w:val="646068"/>
                <w:sz w:val="28"/>
                <w:szCs w:val="28"/>
                <w:rtl w:val="0"/>
              </w:rPr>
              <w:t xml:space="preserve">з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інших 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 xml:space="preserve">галузей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 xml:space="preserve">знань/видів 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 xml:space="preserve">економічної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>діяльності).</w:t>
            </w:r>
          </w:p>
          <w:p w:rsidR="00000000" w:rsidRPr="00000000" w:rsidP="00000000" w14:paraId="000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068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ЗК1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1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. Здатн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 xml:space="preserve">сть працювати в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>м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жнародном</w:t>
            </w:r>
            <w:r w:rsidRPr="00000000">
              <w:rPr>
                <w:rFonts w:ascii="Times New Roman" w:eastAsia="Times New Roman" w:hAnsi="Times New Roman" w:cs="Times New Roman"/>
                <w:color w:val="646068"/>
                <w:sz w:val="28"/>
                <w:szCs w:val="28"/>
                <w:rtl w:val="0"/>
              </w:rPr>
              <w:t xml:space="preserve">у </w:t>
            </w:r>
            <w:r w:rsidRPr="00000000">
              <w:rPr>
                <w:rFonts w:ascii="Times New Roman" w:eastAsia="Times New Roman" w:hAnsi="Times New Roman" w:cs="Times New Roman"/>
                <w:color w:val="504950"/>
                <w:sz w:val="28"/>
                <w:szCs w:val="28"/>
                <w:rtl w:val="0"/>
              </w:rPr>
              <w:t>ко</w:t>
            </w:r>
            <w:r w:rsidRPr="00000000">
              <w:rPr>
                <w:rFonts w:ascii="Times New Roman" w:eastAsia="Times New Roman" w:hAnsi="Times New Roman" w:cs="Times New Roman"/>
                <w:color w:val="211B20"/>
                <w:sz w:val="28"/>
                <w:szCs w:val="28"/>
                <w:rtl w:val="0"/>
              </w:rPr>
              <w:t>н</w:t>
            </w:r>
            <w:r w:rsidRPr="00000000">
              <w:rPr>
                <w:rFonts w:ascii="Times New Roman" w:eastAsia="Times New Roman" w:hAnsi="Times New Roman" w:cs="Times New Roman"/>
                <w:color w:val="3B333A"/>
                <w:sz w:val="28"/>
                <w:szCs w:val="28"/>
                <w:rtl w:val="0"/>
              </w:rPr>
              <w:t>тексті</w:t>
            </w:r>
            <w:r w:rsidRPr="00000000">
              <w:rPr>
                <w:rFonts w:ascii="Times New Roman" w:eastAsia="Times New Roman" w:hAnsi="Times New Roman" w:cs="Times New Roman"/>
                <w:color w:val="360E1E"/>
                <w:sz w:val="28"/>
                <w:szCs w:val="28"/>
                <w:rtl w:val="0"/>
              </w:rPr>
              <w:t>.</w:t>
            </w:r>
          </w:p>
          <w:p w:rsidR="00000000" w:rsidRPr="00000000" w:rsidP="00000000" w14:paraId="0000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ФК10.</w:t>
            </w:r>
            <w:r w:rsidRPr="00000000">
              <w:rPr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 xml:space="preserve">Здатність створення 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д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окумен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т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 xml:space="preserve">ів 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в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с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тановленої з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вітн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о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сті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,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використання н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о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рм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ат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ивн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о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-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п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ра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вових д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окументів.</w:t>
            </w:r>
          </w:p>
          <w:p w:rsidR="00000000" w:rsidRPr="00000000" w:rsidP="00000000" w14:paraId="0000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ФК16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. З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да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тніс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ть д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о ефективної проф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ес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йної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 xml:space="preserve">письмової й 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у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сної ком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у</w:t>
            </w:r>
            <w:r w:rsidRPr="00000000">
              <w:rPr>
                <w:rFonts w:ascii="Times New Roman" w:eastAsia="Times New Roman" w:hAnsi="Times New Roman" w:cs="Times New Roman"/>
                <w:color w:val="2C252B"/>
                <w:sz w:val="28"/>
                <w:szCs w:val="28"/>
                <w:rtl w:val="0"/>
              </w:rPr>
              <w:t>нік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а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ції україн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сь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к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ою мовою </w:t>
            </w:r>
            <w:r w:rsidRPr="00000000">
              <w:rPr>
                <w:rFonts w:ascii="Times New Roman" w:eastAsia="Times New Roman" w:hAnsi="Times New Roman" w:cs="Times New Roman"/>
                <w:color w:val="6B676F"/>
                <w:sz w:val="28"/>
                <w:szCs w:val="28"/>
                <w:rtl w:val="0"/>
              </w:rPr>
              <w:t>та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о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д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ні</w:t>
            </w:r>
            <w:r w:rsidRPr="00000000">
              <w:rPr>
                <w:rFonts w:ascii="Times New Roman" w:eastAsia="Times New Roman" w:hAnsi="Times New Roman" w:cs="Times New Roman"/>
                <w:color w:val="6B676F"/>
                <w:sz w:val="28"/>
                <w:szCs w:val="28"/>
                <w:rtl w:val="0"/>
              </w:rPr>
              <w:t>є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 xml:space="preserve">ю 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з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>офіційни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 xml:space="preserve">х </w:t>
            </w:r>
            <w:r w:rsidRPr="00000000">
              <w:rPr>
                <w:rFonts w:ascii="Times New Roman" w:eastAsia="Times New Roman" w:hAnsi="Times New Roman" w:cs="Times New Roman"/>
                <w:color w:val="413A40"/>
                <w:sz w:val="28"/>
                <w:szCs w:val="28"/>
                <w:rtl w:val="0"/>
              </w:rPr>
              <w:t xml:space="preserve">мов </w:t>
            </w:r>
            <w:r w:rsidRPr="00000000">
              <w:rPr>
                <w:rFonts w:ascii="Times New Roman" w:eastAsia="Times New Roman" w:hAnsi="Times New Roman" w:cs="Times New Roman"/>
                <w:color w:val="575159"/>
                <w:sz w:val="28"/>
                <w:szCs w:val="28"/>
                <w:rtl w:val="0"/>
              </w:rPr>
              <w:t>ЄС</w:t>
            </w:r>
            <w:r w:rsidRPr="00000000">
              <w:rPr>
                <w:rFonts w:ascii="Times New Roman" w:eastAsia="Times New Roman" w:hAnsi="Times New Roman" w:cs="Times New Roman"/>
                <w:color w:val="1C161B"/>
                <w:sz w:val="28"/>
                <w:szCs w:val="28"/>
                <w:rtl w:val="0"/>
              </w:rPr>
              <w:t>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Досягти програмних результатів:</w:t>
            </w:r>
          </w:p>
          <w:p w:rsidR="00000000" w:rsidRPr="00000000" w:rsidP="00000000" w14:paraId="00000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РН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1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8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 xml:space="preserve">.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Ефективно спілкуватися з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питань інф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ормації,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ідей, проблем та р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іш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ень зі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спеціаліст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ами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та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суспільством загалом.</w:t>
            </w:r>
          </w:p>
          <w:p w:rsidR="00000000" w:rsidRPr="00000000" w:rsidP="00000000" w14:paraId="00000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РН20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 xml:space="preserve">.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Демонструвати навички проф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есійного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с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пі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лкування, включаюч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 xml:space="preserve">и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усну 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та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>письмову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комун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 xml:space="preserve">кацію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>укра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ї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 xml:space="preserve">нською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мовою та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 xml:space="preserve">принаймні </w:t>
            </w:r>
            <w:r w:rsidRPr="00000000">
              <w:rPr>
                <w:rFonts w:ascii="Times New Roman" w:eastAsia="Times New Roman" w:hAnsi="Times New Roman" w:cs="Times New Roman"/>
                <w:color w:val="605F66"/>
                <w:sz w:val="28"/>
                <w:szCs w:val="28"/>
                <w:rtl w:val="0"/>
              </w:rPr>
              <w:t xml:space="preserve">однією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з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оф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>ц</w:t>
            </w:r>
            <w:r w:rsidRPr="00000000">
              <w:rPr>
                <w:rFonts w:ascii="Times New Roman" w:eastAsia="Times New Roman" w:hAnsi="Times New Roman" w:cs="Times New Roman"/>
                <w:color w:val="211D21"/>
                <w:sz w:val="28"/>
                <w:szCs w:val="28"/>
                <w:rtl w:val="0"/>
              </w:rPr>
              <w:t>і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 xml:space="preserve">йних </w:t>
            </w:r>
            <w:r w:rsidRPr="00000000">
              <w:rPr>
                <w:rFonts w:ascii="Times New Roman" w:eastAsia="Times New Roman" w:hAnsi="Times New Roman" w:cs="Times New Roman"/>
                <w:color w:val="4D4A51"/>
                <w:sz w:val="28"/>
                <w:szCs w:val="28"/>
                <w:rtl w:val="0"/>
              </w:rPr>
              <w:t xml:space="preserve">мов </w:t>
            </w:r>
            <w:r w:rsidRPr="00000000">
              <w:rPr>
                <w:rFonts w:ascii="Times New Roman" w:eastAsia="Times New Roman" w:hAnsi="Times New Roman" w:cs="Times New Roman"/>
                <w:color w:val="3A353A"/>
                <w:sz w:val="28"/>
                <w:szCs w:val="28"/>
                <w:rtl w:val="0"/>
              </w:rPr>
              <w:t xml:space="preserve">ЄС </w:t>
            </w:r>
            <w:r w:rsidRPr="00000000">
              <w:rPr>
                <w:rFonts w:ascii="Times New Roman" w:eastAsia="Times New Roman" w:hAnsi="Times New Roman" w:cs="Times New Roman"/>
                <w:color w:val="060804"/>
                <w:sz w:val="28"/>
                <w:szCs w:val="28"/>
                <w:rtl w:val="0"/>
              </w:rPr>
              <w:t>.</w:t>
            </w:r>
          </w:p>
        </w:tc>
      </w:tr>
    </w:tbl>
    <w:p w:rsidR="00000000" w:rsidRPr="00000000" w:rsidP="00000000" w14:paraId="0000005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3. Структура курсу</w:t>
      </w:r>
    </w:p>
    <w:tbl>
      <w:tblPr>
        <w:tblStyle w:val="Table3"/>
        <w:tblW w:w="9629" w:type="dxa"/>
        <w:jc w:val="left"/>
        <w:tblLayout w:type="fixed"/>
        <w:tblLook w:val="0400"/>
      </w:tblPr>
      <w:tblGrid>
        <w:gridCol w:w="567"/>
        <w:gridCol w:w="2936"/>
        <w:gridCol w:w="3246"/>
        <w:gridCol w:w="2880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7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Тема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Результати навчання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Завдання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345"/>
          <w:tblHeader w:val="0"/>
          <w:jc w:val="left"/>
        </w:trPr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Семестр 1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Mathematics, my Special Field.</w:t>
            </w:r>
          </w:p>
          <w:p w:rsidR="00000000" w:rsidRPr="00000000" w:rsidP="00000000" w14:paraId="0000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Структура речення в англійській мові. Частини мови.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5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 по темі, сприймати прочитану інформацію та коротко передавати зміст прочитаного;</w:t>
            </w:r>
          </w:p>
          <w:p w:rsidR="00000000" w:rsidRPr="00000000" w:rsidP="00000000" w14:paraId="0000006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Опрацювання лексики за темою.</w:t>
            </w:r>
          </w:p>
          <w:p w:rsidR="00000000" w:rsidRPr="00000000" w:rsidP="00000000" w14:paraId="0000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мовлення.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4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68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Fields of Mathematics. Формоутворення та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6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6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68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69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06A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знати правила вживання часів групи Indefinite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лексико-граматичних вправ, аудіювання; робота з текстами.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66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D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History of Mathematics Development in Western Ukraine.</w:t>
            </w:r>
          </w:p>
          <w:p w:rsidR="00000000" w:rsidRPr="00000000" w:rsidP="00000000" w14:paraId="0000006E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Іменник та його категорії. Утворення множини іменників.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6F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070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відтворювати лексико-граматичні конструкції у побутовому та професійному мовленні.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Виконання вправ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3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68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Mathematical science in Ukraine. Злічувальні</w:t>
              <w:tab/>
              <w:t>та незлічувальні іменники.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Lviv School of Functional Analysis.</w:t>
            </w:r>
          </w:p>
          <w:p w:rsidR="00000000" w:rsidRPr="00000000" w:rsidP="00000000" w14:paraId="0000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Артикль. Основні правила вживання означеного і неозначеного артиклів.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та застосовувати вивчені на занятті граматичні конструкції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7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68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Arithmetic. </w:t>
            </w:r>
          </w:p>
          <w:p w:rsidR="00000000" w:rsidRPr="00000000" w:rsidP="00000000" w14:paraId="00000088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911"/>
                <w:tab w:val="left" w:pos="1566"/>
                <w:tab w:val="left" w:pos="3053"/>
                <w:tab w:val="left" w:pos="3559"/>
              </w:tabs>
              <w:spacing w:before="0" w:after="0" w:line="268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Артикль. Вживання артиклів з власними та географічними назвами.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вивчені на занятті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Fundamental Operations.</w:t>
            </w:r>
          </w:p>
          <w:p w:rsidR="00000000" w:rsidRPr="00000000" w:rsidP="00000000" w14:paraId="00000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Continuous (Active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Вміти спілкуватися за тематикою заняття та</w:t>
            </w:r>
          </w:p>
          <w:p w:rsidR="00000000" w:rsidRPr="00000000" w:rsidP="00000000" w14:paraId="00000094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презентувати власні думки,</w:t>
            </w:r>
          </w:p>
          <w:p w:rsidR="00000000" w:rsidRPr="00000000" w:rsidP="00000000" w14:paraId="0000009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відстоювати свою думку в дискусії;</w:t>
            </w:r>
          </w:p>
          <w:p w:rsidR="00000000" w:rsidRPr="00000000" w:rsidP="00000000" w14:paraId="00000096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97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6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Fractions.</w:t>
            </w:r>
          </w:p>
          <w:p w:rsidR="00000000" w:rsidRPr="00000000" w:rsidP="00000000" w14:paraId="00000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Типи питань: загальні, спеціальні, розділові та альтернативні.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Types of Questions та вміти застосовувати в усному та письмовому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Algebra.</w:t>
            </w:r>
          </w:p>
          <w:p w:rsidR="00000000" w:rsidRPr="00000000" w:rsidP="00000000" w14:paraId="0000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Прикметник. Ступені порівняння прикметників.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Degrees of Comparison of Adjectives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Signs used in Algebra.</w:t>
            </w:r>
          </w:p>
          <w:p w:rsidR="00000000" w:rsidRPr="00000000" w:rsidP="00000000" w14:paraId="0000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теперішнього перфектного часу (Present Perfect Active Voice).</w:t>
            </w:r>
          </w:p>
          <w:p w:rsidR="00000000" w:rsidRPr="00000000" w:rsidP="00000000" w14:paraId="00000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:rsidR="00000000" w:rsidRPr="00000000" w:rsidP="00000000" w14:paraId="0000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правильно використовувати Present Perfect Tense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7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 w:val="0"/>
              </w:rPr>
              <w:t>Семестр 2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Set Theory.</w:t>
            </w:r>
          </w:p>
          <w:p w:rsidR="00000000" w:rsidRPr="00000000" w:rsidP="00000000" w14:paraId="00000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минулого перфектного часу (Past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тематики заняття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8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2.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Geometry.</w:t>
            </w:r>
          </w:p>
          <w:p w:rsidR="00000000" w:rsidRPr="00000000" w:rsidP="00000000" w14:paraId="0000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майбутнього перфектного часу (Future Perfect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 за тематикою заняття;</w:t>
            </w:r>
          </w:p>
          <w:p w:rsidR="00000000" w:rsidRPr="00000000" w:rsidP="00000000" w14:paraId="0000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тексти та діалоги на слух за вивченою тематикою;</w:t>
            </w:r>
          </w:p>
          <w:p w:rsidR="00000000" w:rsidRPr="00000000" w:rsidP="00000000" w14:paraId="0000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розрізняти та правильно застосовувати </w:t>
            </w: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Future Perfect Active Voice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2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3.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Applied  Mathematics and Modern Civilization.</w:t>
            </w:r>
          </w:p>
          <w:p w:rsidR="00000000" w:rsidRPr="00000000" w:rsidP="00000000" w14:paraId="0000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Формоутворення та вживання часів групи перфектного тривалого часу (Perfect Continuous Active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 </w:t>
            </w:r>
          </w:p>
          <w:p w:rsidR="00000000" w:rsidRPr="00000000" w:rsidP="00000000" w14:paraId="000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:rsidR="00000000" w:rsidRPr="00000000" w:rsidP="00000000" w14:paraId="00000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граматичні конструкції за темою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556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4.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Mathematical Modelling. Прийменник. Використання прийменників місця та часу.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переказувати тексти фахового спрямування;</w:t>
            </w:r>
          </w:p>
          <w:p w:rsidR="00000000" w:rsidRPr="00000000" w:rsidP="00000000" w14:paraId="00000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мову на слух з використанням вивченої лексики;</w:t>
            </w:r>
          </w:p>
          <w:p w:rsidR="00000000" w:rsidRPr="00000000" w:rsidP="00000000" w14:paraId="00000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з прочитаних текстів вивчені граматичні структури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116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History of Applied Mathematics.</w:t>
            </w:r>
          </w:p>
          <w:p w:rsidR="00000000" w:rsidRPr="00000000" w:rsidP="00000000" w14:paraId="00000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Засоби вираження майбутньої дії (Present Simple, Present Continuous, Future Simple, Future Continuous, Future Perfect, to be going to, to be about to).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Працювати з аудіо матеріалом, слухати та розуміти тексти у наступних монологічних і діалогічних текстових формах: dialogues, discussions, debates, radio and TV programs.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Лексико-граматичний контроль; тестування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6.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Ukrainian Names in World Science.</w:t>
            </w:r>
          </w:p>
          <w:p w:rsidR="00000000" w:rsidRPr="00000000" w:rsidP="00000000" w14:paraId="00000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Прислівник. Утворення, структура та функції в реченні.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вести бесіду за тематикою заняття (діалогічне та монологічне мовлення);</w:t>
            </w:r>
          </w:p>
          <w:p w:rsidR="00000000" w:rsidRPr="00000000" w:rsidP="00000000" w14:paraId="00000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розуміти на слух тексти та діалоги;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7.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The Age of Thinking Machines.</w:t>
            </w:r>
          </w:p>
          <w:p w:rsidR="00000000" w:rsidRPr="00000000" w:rsidP="00000000" w14:paraId="0000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Ступені порівняння прислівників.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спілкуватися за тематикою заняття;</w:t>
            </w:r>
          </w:p>
          <w:p w:rsidR="00000000" w:rsidRPr="00000000" w:rsidP="00000000" w14:paraId="0000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вміти презентувати тезисно свої думки та знання стосовно тематики заняття;</w:t>
            </w:r>
          </w:p>
          <w:p w:rsidR="00000000" w:rsidRPr="00000000" w:rsidP="00000000" w14:paraId="0000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формулювати правильні питання до запропонованих відповідей, відповідати на запитання, відстоювати свою думку в дискусії.</w:t>
            </w:r>
          </w:p>
          <w:p w:rsidR="00000000" w:rsidRPr="00000000" w:rsidP="00000000" w14:paraId="0000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8.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“What Is a Digital Computer? </w:t>
            </w:r>
          </w:p>
          <w:p w:rsidR="00000000" w:rsidRPr="00000000" w:rsidP="00000000" w14:paraId="00000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0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:rsidR="00000000" w:rsidRPr="00000000" w:rsidP="00000000" w14:paraId="0000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розрізняти розмовні й літературні вислови в межах пройденого матеріалу та активно вживати їх в усному й писемному мовленні;</w:t>
            </w:r>
          </w:p>
          <w:p w:rsidR="00000000" w:rsidRPr="00000000" w:rsidP="00000000" w14:paraId="00000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відтворювати лексико-граматичні конструкції у побутовому та професійному мовленні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 xml:space="preserve">Data (Information) Processing. </w:t>
            </w:r>
          </w:p>
          <w:p w:rsidR="00000000" w:rsidRPr="00000000" w:rsidP="00000000" w14:paraId="00000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Пасивний стан дієслів. (Passive Voice).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Виокремлювати мовленнєві моделі (Speech Patterns) iз запропонованих текстів та активізувати їх у усному мовленні;</w:t>
            </w:r>
          </w:p>
          <w:p w:rsidR="00000000" w:rsidRPr="00000000" w:rsidP="00000000" w14:paraId="000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відповідати на запитання, відстоювати свою думку в дискусії.</w:t>
            </w:r>
          </w:p>
          <w:p w:rsidR="00000000" w:rsidRPr="00000000" w:rsidP="00000000" w14:paraId="0000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прочитаного;</w:t>
            </w:r>
          </w:p>
          <w:p w:rsidR="00000000" w:rsidRPr="00000000" w:rsidP="00000000" w14:paraId="00000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знати та розрізняти займенники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423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sz w:val="28"/>
                <w:szCs w:val="28"/>
                <w:rtl w:val="0"/>
              </w:rPr>
              <w:t>From Computers to Cyberspace. Grammar Revision. Test.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 </w:t>
            </w:r>
          </w:p>
          <w:p w:rsidR="00000000" w:rsidRPr="00000000" w:rsidP="00000000" w14:paraId="0000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перекладати та переказувати від першої та третьої особи;</w:t>
            </w:r>
          </w:p>
          <w:p w:rsidR="00000000" w:rsidRPr="00000000" w:rsidP="00000000" w14:paraId="0000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сприймати на слух і розуміти дискусії по темі;</w:t>
            </w:r>
          </w:p>
          <w:p w:rsidR="00000000" w:rsidRPr="00000000" w:rsidP="00000000" w14:paraId="0000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читати та розуміти тексти, сприймати прочитану інформацію та коротко передавати зміст прочитаного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:rsidR="00000000" w:rsidRPr="00000000" w:rsidP="00000000" w14:paraId="00000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індивідуальної роботи.</w:t>
            </w:r>
          </w:p>
          <w:p w:rsidR="00000000" w:rsidRPr="00000000" w:rsidP="00000000" w14:paraId="00000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Завдання для самостійної роботи.</w:t>
            </w:r>
          </w:p>
          <w:p w:rsidR="00000000" w:rsidRPr="00000000" w:rsidP="00000000" w14:paraId="00000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Тести.</w:t>
            </w:r>
          </w:p>
        </w:tc>
      </w:tr>
    </w:tbl>
    <w:p w:rsidR="00000000" w:rsidRPr="00000000" w:rsidP="00000000" w14:paraId="0000011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1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4. Система оцінювання курсу</w:t>
      </w:r>
    </w:p>
    <w:tbl>
      <w:tblPr>
        <w:tblStyle w:val="Table4"/>
        <w:tblW w:w="9634" w:type="dxa"/>
        <w:jc w:val="left"/>
        <w:tblLayout w:type="fixed"/>
        <w:tblLook w:val="0400"/>
      </w:tblPr>
      <w:tblGrid>
        <w:gridCol w:w="3720"/>
        <w:gridCol w:w="5914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Накопичування балів під час вивчення дисципліни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Види навчальної роботи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Практичне 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90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Самостійна робота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Максимальна кількість балів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100</w:t>
            </w:r>
          </w:p>
        </w:tc>
      </w:tr>
    </w:tbl>
    <w:p w:rsidR="00000000" w:rsidRPr="00000000" w:rsidP="00000000" w14:paraId="0000012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5. Оцінювання відповідно до графіку навчального процесу </w:t>
      </w:r>
    </w:p>
    <w:tbl>
      <w:tblPr>
        <w:tblStyle w:val="Table5"/>
        <w:tblW w:w="9629" w:type="dxa"/>
        <w:jc w:val="left"/>
        <w:tblLayout w:type="fixed"/>
        <w:tblLook w:val="0400"/>
      </w:tblPr>
      <w:tblGrid>
        <w:gridCol w:w="2014"/>
        <w:gridCol w:w="336"/>
        <w:gridCol w:w="336"/>
        <w:gridCol w:w="336"/>
        <w:gridCol w:w="336"/>
        <w:gridCol w:w="336"/>
        <w:gridCol w:w="336"/>
        <w:gridCol w:w="336"/>
        <w:gridCol w:w="45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26"/>
          <w:tblHeader w:val="0"/>
          <w:jc w:val="left"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Види навчальної</w:t>
              <w:br/>
              <w:t>роботи</w:t>
            </w:r>
          </w:p>
        </w:tc>
        <w:tc>
          <w:tcPr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Навчальні тижні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Разом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275"/>
          <w:tblHeader w:val="0"/>
          <w:jc w:val="left"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3A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17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C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Практичні</w:t>
            </w:r>
          </w:p>
          <w:p w:rsidR="00000000" w:rsidRPr="00000000" w:rsidP="00000000" w14:paraId="00000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заняття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90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Самостійна робота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Всього за семестр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 w:val="0"/>
              </w:rPr>
              <w:t>100</w:t>
            </w:r>
          </w:p>
        </w:tc>
      </w:tr>
    </w:tbl>
    <w:p w:rsidR="00000000" w:rsidRPr="00000000" w:rsidP="00000000" w14:paraId="00000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Примітка:</w:t>
      </w:r>
      <w:r w:rsidRPr="00000000">
        <w:rPr>
          <w:rFonts w:ascii="Times New Roman" w:eastAsia="Times New Roman" w:hAnsi="Times New Roman" w:cs="Times New Roman"/>
          <w:color w:val="000000"/>
          <w:sz w:val="28"/>
          <w:szCs w:val="28"/>
          <w:rtl w:val="0"/>
        </w:rPr>
        <w:t xml:space="preserve"> </w:t>
      </w:r>
      <w:r w:rsidRPr="00000000">
        <w:rPr>
          <w:rFonts w:ascii="Times New Roman" w:eastAsia="Times New Roman" w:hAnsi="Times New Roman" w:cs="Times New Roman"/>
          <w:color w:val="000000"/>
          <w:sz w:val="20"/>
          <w:szCs w:val="20"/>
          <w:rtl w:val="0"/>
        </w:rPr>
        <w:t>не рекомендується на один тиждень планувати кілька форм контролю.</w:t>
      </w:r>
    </w:p>
    <w:p w:rsidR="00000000" w:rsidRPr="00000000" w:rsidP="00000000" w14:paraId="0000018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6. Ресурсне забезпечення</w:t>
      </w:r>
    </w:p>
    <w:tbl>
      <w:tblPr>
        <w:tblStyle w:val="Table6"/>
        <w:tblW w:w="9629" w:type="dxa"/>
        <w:jc w:val="left"/>
        <w:tblLayout w:type="fixed"/>
        <w:tblLook w:val="0400"/>
      </w:tblPr>
      <w:tblGrid>
        <w:gridCol w:w="5794"/>
        <w:gridCol w:w="3835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Матеріально-технічне забезпечення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Мультимедіа, </w:t>
              <w:br/>
              <w:t>комп’ютери та інше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00000" w:rsidRPr="00000000" w:rsidP="00000000" w14:paraId="0000018B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Література:</w:t>
            </w:r>
          </w:p>
          <w:p w:rsidR="00000000" w:rsidRPr="00000000" w:rsidP="00000000" w14:paraId="0000018C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Базова</w:t>
            </w:r>
          </w:p>
          <w:p w:rsidR="00000000" w:rsidRPr="00000000" w:rsidP="00000000" w14:paraId="0000018D">
            <w:pPr>
              <w:shd w:val="clear" w:color="auto" w:fill="FFFFFF"/>
              <w:spacing w:after="0" w:line="240" w:lineRule="auto"/>
              <w:ind w:left="726" w:hanging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Ісаєва Г.Т., Тимошик О.М. English for Students of Mathematics: Навч. посіб. – 2-ге вид., переобл. і допов. – Львів: ПАІС, 2009. – 260 с.</w:t>
            </w:r>
          </w:p>
          <w:p w:rsidR="00000000" w:rsidRPr="00000000" w:rsidP="00000000" w14:paraId="00000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Career - Paths  - United Kingdom: Express Publishing, 2015 — 122p.</w:t>
            </w:r>
          </w:p>
          <w:p w:rsidR="00000000" w:rsidRPr="00000000" w:rsidP="00000000" w14:paraId="00000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Virginia Evans, Jenny Dooley, J.J.Cassidy University Studies Guide - United Kingdom: Express Publishing, 2015 — 120p.</w:t>
            </w:r>
          </w:p>
          <w:p w:rsidR="00000000" w:rsidRPr="00000000" w:rsidP="00000000" w14:paraId="000001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Murphy Raymond with William R.Smalzer. Grammar in Use: a self-study reference and practice book for intermediate student of English. - Second edition. - NewYork: Cambridge University Press 2005. - 341p.</w:t>
            </w:r>
          </w:p>
          <w:p w:rsidR="00000000" w:rsidRPr="00000000" w:rsidP="00000000" w14:paraId="000001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Львова Н., Лопатюк Н., Єсипенко Н., Орищук С., Pass your English Test!: Навчальний посібник — Чернівці: Книги — XXI, 2011.- 296с.</w:t>
            </w:r>
          </w:p>
          <w:p w:rsidR="00000000" w:rsidRPr="00000000" w:rsidP="00000000" w14:paraId="00000193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426" w:right="0" w:firstLine="0"/>
              <w:jc w:val="center"/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194">
            <w:pPr>
              <w:shd w:val="clear" w:color="auto" w:fill="FFFFFF"/>
              <w:tabs>
                <w:tab w:val="left" w:pos="159"/>
              </w:tabs>
              <w:spacing w:after="0" w:line="240" w:lineRule="auto"/>
              <w:ind w:left="726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Допоміжна</w:t>
            </w:r>
          </w:p>
          <w:p w:rsidR="00000000" w:rsidRPr="00000000" w:rsidP="00000000" w14:paraId="00000195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  <w:p w:rsidR="00000000" w:rsidRPr="00000000" w:rsidP="00000000" w14:paraId="0000019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Michael Swan,  Practical English Usage –Third edition – Oxford:University Press 2009. -658p.  </w:t>
            </w:r>
          </w:p>
          <w:p w:rsidR="00000000" w:rsidRPr="00000000" w:rsidP="00000000" w14:paraId="000001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Mary Ellen Munoz Page ESL Grammar Intermediate and Advanced, New Jersey: Research and Education Association 2008. - 375p.</w:t>
            </w:r>
          </w:p>
          <w:p w:rsidR="00000000" w:rsidRPr="00000000" w:rsidP="00000000" w14:paraId="0000019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:rsidR="00000000" w:rsidRPr="00000000" w:rsidP="00000000" w14:paraId="0000019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Murray Bromberg, Melvin Gordon 1000 Words you need to know.- fourth edition.-NewYork: Barron’s Education Series, 2000.- 380p/</w:t>
            </w:r>
          </w:p>
          <w:p w:rsidR="00000000" w:rsidRPr="00000000" w:rsidP="00000000" w14:paraId="0000019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Martin Hewings Advanced Grammar in Use: a self-study and practice book for advanced students of English.-Second edition.- UK: Cambridge University Press 2005.- 294 p.</w:t>
            </w:r>
          </w:p>
          <w:p w:rsidR="00000000" w:rsidRPr="00000000" w:rsidP="00000000" w14:paraId="0000019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Jenny Dooley, Virginia Evans. Grammarway 4. Express Publishing. 2000. - 216 p.</w:t>
            </w:r>
          </w:p>
          <w:p w:rsidR="00000000" w:rsidRPr="00000000" w:rsidP="00000000" w14:paraId="0000019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"/>
              </w:tabs>
              <w:spacing w:before="0" w:after="0" w:line="240" w:lineRule="auto"/>
              <w:ind w:left="720" w:right="0" w:hanging="36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Longman Advanced Learner’s Grammar [a self-study reference &amp; practice book with answers]. [ed. by Mark Foley &amp; Diane Hall]. PEL, 2003. URL: (</w:t>
            </w:r>
            <w:hyperlink r:id="rId7">
              <w:r w:rsidRPr="00000000">
                <w:rPr>
                  <w:rFonts w:ascii="Times New Roman" w:eastAsia="Times New Roman" w:hAnsi="Times New Roman" w:cs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val="clear" w:color="auto" w:fill="auto"/>
                  <w:vertAlign w:val="baseline"/>
                  <w:rtl w:val="0"/>
                </w:rPr>
                <w:t>https://epdf.pub/longman-advanced-learners-grammar.htmn</w:t>
              </w:r>
            </w:hyperlink>
          </w:p>
          <w:p w:rsidR="00000000" w:rsidRPr="00000000" w:rsidP="00000000" w14:paraId="0000019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Longman Student Grammar of Spoken and Written English. [ed. by D. Biber, S. Conrad, G. Leech]. PEL, 2002 (</w:t>
            </w:r>
            <w:hyperlink r:id="rId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https://epdf.pub/longman-advanced-learners-grammar.html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)</w:t>
            </w:r>
          </w:p>
          <w:p w:rsidR="00000000" w:rsidRPr="00000000" w:rsidP="00000000" w14:paraId="0000019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Murphy R. English Grammar In Use with Answers and CD ROM. 3rd edition. - Cambridge: Cambridge University Press, 2004. - 335 p. </w:t>
            </w:r>
          </w:p>
          <w:p w:rsidR="00000000" w:rsidRPr="00000000" w:rsidP="00000000" w14:paraId="0000019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59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Thomson A.J. A Practical English Grammar. - Oxford: Oxford University Press, 2003. - 283 p.</w:t>
            </w:r>
          </w:p>
          <w:p w:rsidR="00000000" w:rsidRPr="00000000" w:rsidP="00000000" w14:paraId="000001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 w:val="0"/>
              </w:rPr>
              <w:t>Інформаційні ресурси</w:t>
            </w:r>
          </w:p>
          <w:p w:rsidR="00000000" w:rsidRPr="00000000" w:rsidP="00000000" w14:paraId="000001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Pr="00000000" w:rsidP="00000000" w14:paraId="000001A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www.pu.if.ua/</w:t>
              </w:r>
            </w:hyperlink>
          </w:p>
          <w:p w:rsidR="00000000" w:rsidRPr="00000000" w:rsidP="00000000" w14:paraId="000001A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http://www.eslprintables.com</w:t>
              </w:r>
            </w:hyperlink>
          </w:p>
          <w:p w:rsidR="00000000" w:rsidRPr="00000000" w:rsidP="00000000" w14:paraId="000001A4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http://www.busuu.com</w:t>
              </w:r>
            </w:hyperlink>
          </w:p>
          <w:p w:rsidR="00000000" w:rsidRPr="00000000" w:rsidP="00000000" w14:paraId="000001A5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http://www.englishclub.com/</w:t>
              </w:r>
            </w:hyperlink>
          </w:p>
          <w:p w:rsidR="00000000" w:rsidRPr="00000000" w:rsidP="00000000" w14:paraId="000001A6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http://esl.about.com/</w:t>
              </w:r>
            </w:hyperlink>
          </w:p>
          <w:p w:rsidR="00000000" w:rsidRPr="00000000" w:rsidP="00000000" w14:paraId="000001A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http://www.britannica.com/</w:t>
              </w:r>
            </w:hyperlink>
          </w:p>
          <w:p w:rsidR="00000000" w:rsidRPr="00000000" w:rsidP="00000000" w14:paraId="000001A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http://www.english-test.net/</w:t>
              </w:r>
            </w:hyperlink>
          </w:p>
          <w:p w:rsidR="00000000" w:rsidRPr="00000000" w:rsidP="00000000" w14:paraId="000001A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http://www.ted.com/</w:t>
              </w:r>
            </w:hyperlink>
          </w:p>
          <w:p w:rsidR="00000000" w:rsidRPr="00000000" w:rsidP="00000000" w14:paraId="000001A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http://www.grammarbank.com/</w:t>
              </w:r>
            </w:hyperlink>
          </w:p>
          <w:p w:rsidR="00000000" w:rsidRPr="00000000" w:rsidP="00000000" w14:paraId="000001A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http://learnenglish.britishcouncil.org/en/</w:t>
              </w:r>
            </w:hyperlink>
          </w:p>
          <w:p w:rsidR="00000000" w:rsidRPr="00000000" w:rsidP="00000000" w14:paraId="000001A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Oxford University Press - </w:t>
            </w:r>
            <w:hyperlink r:id="rId19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http://global.oup.com/?cc=ua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 </w:t>
            </w:r>
          </w:p>
        </w:tc>
      </w:tr>
    </w:tbl>
    <w:p w:rsidR="00000000" w:rsidRPr="00000000" w:rsidP="00000000" w14:paraId="000001A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7. Контактна інформація</w:t>
      </w:r>
    </w:p>
    <w:tbl>
      <w:tblPr>
        <w:tblStyle w:val="Table7"/>
        <w:tblW w:w="9634" w:type="dxa"/>
        <w:jc w:val="left"/>
        <w:tblLayout w:type="fixed"/>
        <w:tblLook w:val="0400"/>
      </w:tblPr>
      <w:tblGrid>
        <w:gridCol w:w="4173"/>
        <w:gridCol w:w="5461"/>
      </w:tblGrid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Кафедра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Іноземних мов, каб. 707,</w:t>
            </w:r>
          </w:p>
          <w:p w:rsidR="00000000" w:rsidRPr="00000000" w:rsidP="00000000" w14:paraId="00000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+38(0342)596140 </w:t>
            </w:r>
          </w:p>
          <w:p w:rsidR="00000000" w:rsidRPr="00000000" w:rsidP="00000000" w14:paraId="0000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kim@pnu.edu.ua</w:t>
              </w:r>
            </w:hyperlink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Викладач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Струтинська Тетяна Романівна</w:t>
            </w:r>
          </w:p>
          <w:p w:rsidR="00000000" w:rsidRPr="00000000" w:rsidP="00000000" w14:paraId="00000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старший викладач</w:t>
            </w:r>
          </w:p>
        </w:tc>
      </w:tr>
      <w:tr>
        <w:tblPrEx>
          <w:tblW w:w="9634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Контактна інформація викладача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+38(050)6879601</w:t>
            </w:r>
          </w:p>
          <w:p w:rsidR="00000000" w:rsidRPr="00000000" w:rsidP="00000000" w14:paraId="00000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rtl w:val="0"/>
                </w:rPr>
                <w:t>tetiana.strutynska@pnu.edu.ua</w:t>
              </w:r>
            </w:hyperlink>
          </w:p>
        </w:tc>
      </w:tr>
    </w:tbl>
    <w:p w:rsidR="00000000" w:rsidRPr="00000000" w:rsidP="00000000" w14:paraId="000001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8. Політика навчальної дисципліни</w:t>
      </w:r>
    </w:p>
    <w:tbl>
      <w:tblPr>
        <w:tblStyle w:val="Table8"/>
        <w:tblW w:w="9629" w:type="dxa"/>
        <w:jc w:val="left"/>
        <w:tblLayout w:type="fixed"/>
        <w:tblLook w:val="0400"/>
      </w:tblPr>
      <w:tblGrid>
        <w:gridCol w:w="2628"/>
        <w:gridCol w:w="7001"/>
      </w:tblGrid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Пропуски занять (відпрацювання)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і порядок відпрацювання пропущених студентом занять регламентується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(див. стор. 4.).</w:t>
            </w:r>
          </w:p>
          <w:p w:rsidR="00000000" w:rsidRPr="00000000" w:rsidP="00000000" w14:paraId="00000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з положенням можна за посиланням: 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Виконання завдання пізніше встановленого терміну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2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 xml:space="preserve"> – стор. 4-5.</w:t>
            </w:r>
          </w:p>
          <w:p w:rsidR="00000000" w:rsidRPr="00000000" w:rsidP="00000000" w14:paraId="00000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Ознайомитися із положенням можна за посиланням: https://nmv.pnu.edu.ua/нормативні-документи/polozhenja/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000000" w:rsidP="00000000" w14:paraId="00000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3">
              <w:r w:rsidRPr="0000000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  <w:rtl w:val="0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» - ознайомитися із положенням можна за посиланням: https://nmv.pnu.edu.ua/нормативні-документи/polozhenja/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rHeight w:val="884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>
        <w:tblPrEx>
          <w:tblW w:w="9629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Неформальна освіта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Pr="00000000" w:rsidP="00000000" w14:paraId="00000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 w:val="0"/>
              </w:rPr>
              <w:t>Можливість зарахування: наявність міжнародного сертифікату з іноземної мови: TOEFL, IELTS, FCE.</w:t>
            </w:r>
          </w:p>
        </w:tc>
      </w:tr>
    </w:tbl>
    <w:p w:rsidR="00000000" w:rsidRPr="00000000" w:rsidP="00000000" w14:paraId="00000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Pr="00000000" w:rsidP="00000000" w14:paraId="000001CA">
      <w:pPr>
        <w:spacing w:after="0" w:line="240" w:lineRule="auto"/>
        <w:jc w:val="center"/>
        <w:rPr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rtl w:val="0"/>
        </w:rPr>
        <w:t>Викладач                                                              Тетяна Струтинська</w:t>
      </w:r>
    </w:p>
    <w:p w:rsidR="00000000" w:rsidRPr="00000000" w:rsidP="00000000" w14:paraId="000001CB"/>
    <w:sectPr>
      <w:pgSz w:w="11906" w:h="16838" w:orient="portrait"/>
      <w:pgMar w:top="850" w:right="850" w:bottom="850" w:left="1417" w:header="708" w:footer="708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Times New Roma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73E34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5E1585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A218FF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A7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0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F5EA7"/>
    <w:rPr>
      <w:color w:val="0000FF"/>
      <w:u w:val="single"/>
    </w:rPr>
  </w:style>
  <w:style w:type="paragraph" w:styleId="BodyText">
    <w:name w:val="Body Text"/>
    <w:basedOn w:val="Normal"/>
    <w:link w:val="a"/>
    <w:rsid w:val="00B354F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B354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65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73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2">
    <w:name w:val="Table2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3">
    <w:name w:val="Table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4">
    <w:name w:val="Table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5">
    <w:name w:val="Table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6">
    <w:name w:val="Table6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7">
    <w:name w:val="Table7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8">
    <w:name w:val="Table8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eslprintables.com" TargetMode="External" /><Relationship Id="rId11" Type="http://schemas.openxmlformats.org/officeDocument/2006/relationships/hyperlink" Target="http://www.busuu.com" TargetMode="External" /><Relationship Id="rId12" Type="http://schemas.openxmlformats.org/officeDocument/2006/relationships/hyperlink" Target="http://www.englishclub.com/" TargetMode="External" /><Relationship Id="rId13" Type="http://schemas.openxmlformats.org/officeDocument/2006/relationships/hyperlink" Target="http://esl.about.com/" TargetMode="External" /><Relationship Id="rId14" Type="http://schemas.openxmlformats.org/officeDocument/2006/relationships/hyperlink" Target="http://www.britannica.com/" TargetMode="External" /><Relationship Id="rId15" Type="http://schemas.openxmlformats.org/officeDocument/2006/relationships/hyperlink" Target="http://www.english-test.net/" TargetMode="External" /><Relationship Id="rId16" Type="http://schemas.openxmlformats.org/officeDocument/2006/relationships/hyperlink" Target="http://www.ted.com/" TargetMode="External" /><Relationship Id="rId17" Type="http://schemas.openxmlformats.org/officeDocument/2006/relationships/hyperlink" Target="http://www.grammarbank.com/" TargetMode="External" /><Relationship Id="rId18" Type="http://schemas.openxmlformats.org/officeDocument/2006/relationships/hyperlink" Target="http://learnenglish.britishcouncil.org/en/" TargetMode="External" /><Relationship Id="rId19" Type="http://schemas.openxmlformats.org/officeDocument/2006/relationships/hyperlink" Target="http://global.oup.com/?cc=ua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kim@pnu.edu.ua" TargetMode="External" /><Relationship Id="rId21" Type="http://schemas.openxmlformats.org/officeDocument/2006/relationships/hyperlink" Target="mailto:tetiana.strutynska@pnu.edu.ua" TargetMode="External" /><Relationship Id="rId22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 /><Relationship Id="rId23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d-learn.pro" TargetMode="External" /><Relationship Id="rId7" Type="http://schemas.openxmlformats.org/officeDocument/2006/relationships/hyperlink" Target="https://epdf.pub/longman-advanced-learners-grammar.htmn" TargetMode="External" /><Relationship Id="rId8" Type="http://schemas.openxmlformats.org/officeDocument/2006/relationships/hyperlink" Target="https://epdf.pub/longman-advanced-learners-grammar.html" TargetMode="External" /><Relationship Id="rId9" Type="http://schemas.openxmlformats.org/officeDocument/2006/relationships/hyperlink" Target="http://www.pu.if.ua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nW8buBAZjBZJti2naTnMstDSbw==">AMUW2mX1/IXofrGOZ/WedoTv40F1pJV6Tc9xR90ZM7NIjIP3LJd8HK6+sQM13gT2DdM9uTAVAdoBodLxSKMLnnzXaBH8njKd8E1fw5keWb1L+UrvicA2VNTqClB0sanr6MD5LX04h5LQ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Струтинська</dc:creator>
  <cp:revision>0</cp:revision>
  <dcterms:created xsi:type="dcterms:W3CDTF">2023-01-26T20:44:00Z</dcterms:created>
</cp:coreProperties>
</file>