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E3" w:rsidRDefault="00B46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B72EE3" w:rsidRDefault="00B46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B72EE3" w:rsidRDefault="00B46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4698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257300" cy="1257300"/>
            <wp:effectExtent l="0" t="0" r="0" b="0"/>
            <wp:docPr id="4" name="image1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Символіка – Прикарпатський національний університет імені Василя Стефаника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469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математики та інформатики</w:t>
      </w:r>
    </w:p>
    <w:p w:rsidR="00B72EE3" w:rsidRDefault="00B469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іноземних мов</w:t>
      </w:r>
    </w:p>
    <w:p w:rsidR="00B72EE3" w:rsidRDefault="00B72EE3">
      <w:pPr>
        <w:jc w:val="center"/>
        <w:rPr>
          <w:sz w:val="28"/>
          <w:szCs w:val="28"/>
        </w:rPr>
      </w:pPr>
    </w:p>
    <w:p w:rsidR="00B72EE3" w:rsidRDefault="00B72EE3">
      <w:pPr>
        <w:jc w:val="center"/>
        <w:rPr>
          <w:sz w:val="28"/>
          <w:szCs w:val="28"/>
        </w:rPr>
      </w:pP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46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B72EE3" w:rsidRDefault="00B72EE3">
      <w:pPr>
        <w:jc w:val="center"/>
        <w:rPr>
          <w:b/>
          <w:sz w:val="28"/>
          <w:szCs w:val="28"/>
        </w:rPr>
      </w:pPr>
    </w:p>
    <w:p w:rsidR="00B72EE3" w:rsidRDefault="00B4698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«ПРАКТИКА ТЕХНІЧНОГО ПЕРЕКЛАДУ»</w:t>
      </w:r>
    </w:p>
    <w:p w:rsidR="00B72EE3" w:rsidRDefault="00B72EE3">
      <w:pPr>
        <w:rPr>
          <w:sz w:val="28"/>
          <w:szCs w:val="28"/>
        </w:rPr>
      </w:pPr>
    </w:p>
    <w:p w:rsidR="00B72EE3" w:rsidRDefault="00B72EE3">
      <w:pPr>
        <w:rPr>
          <w:sz w:val="28"/>
          <w:szCs w:val="28"/>
        </w:rPr>
      </w:pPr>
    </w:p>
    <w:p w:rsidR="00B72EE3" w:rsidRDefault="00B46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Освітня програма:       «Інформатика»</w:t>
      </w:r>
    </w:p>
    <w:p w:rsidR="00B72EE3" w:rsidRDefault="00B46981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(бакалаврський) рівень</w:t>
      </w:r>
    </w:p>
    <w:p w:rsidR="00B72EE3" w:rsidRDefault="00B72EE3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</w:p>
    <w:p w:rsidR="00B72EE3" w:rsidRDefault="00B46981">
      <w:pPr>
        <w:tabs>
          <w:tab w:val="left" w:pos="2268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Спеціальність:            121 «Інженерія програмного забезпечення»</w:t>
      </w:r>
    </w:p>
    <w:p w:rsidR="00B72EE3" w:rsidRDefault="00B72EE3">
      <w:pPr>
        <w:tabs>
          <w:tab w:val="left" w:pos="2268"/>
          <w:tab w:val="left" w:pos="4253"/>
        </w:tabs>
        <w:rPr>
          <w:sz w:val="28"/>
          <w:szCs w:val="28"/>
        </w:rPr>
      </w:pPr>
    </w:p>
    <w:p w:rsidR="00B72EE3" w:rsidRDefault="00B46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Галузь знань:              12 «Інформаційні технології»</w:t>
      </w:r>
    </w:p>
    <w:p w:rsidR="00B72EE3" w:rsidRDefault="00B469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EE3" w:rsidRDefault="00B72EE3">
      <w:pPr>
        <w:jc w:val="center"/>
        <w:rPr>
          <w:sz w:val="28"/>
          <w:szCs w:val="28"/>
        </w:rPr>
      </w:pPr>
    </w:p>
    <w:p w:rsidR="00B72EE3" w:rsidRDefault="00B72EE3">
      <w:pPr>
        <w:jc w:val="center"/>
        <w:rPr>
          <w:sz w:val="28"/>
          <w:szCs w:val="28"/>
        </w:rPr>
      </w:pPr>
    </w:p>
    <w:p w:rsidR="00B72EE3" w:rsidRDefault="00B72EE3">
      <w:pPr>
        <w:jc w:val="center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46981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B72EE3" w:rsidRDefault="00B469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1  від “29” серпня 2022 р.  </w:t>
      </w: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center"/>
        <w:rPr>
          <w:sz w:val="28"/>
          <w:szCs w:val="28"/>
        </w:rPr>
      </w:pPr>
    </w:p>
    <w:p w:rsidR="00B72EE3" w:rsidRDefault="00B72EE3">
      <w:pPr>
        <w:rPr>
          <w:sz w:val="28"/>
          <w:szCs w:val="28"/>
        </w:rPr>
      </w:pPr>
    </w:p>
    <w:p w:rsidR="00B72EE3" w:rsidRDefault="00B46981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– 2022</w:t>
      </w:r>
    </w:p>
    <w:p w:rsidR="00B72EE3" w:rsidRDefault="00B46981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ЗМІСТ</w:t>
      </w:r>
    </w:p>
    <w:p w:rsidR="00B72EE3" w:rsidRDefault="00B72EE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Загальна інформація</w:t>
      </w: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Опис дисципліни</w:t>
      </w:r>
    </w:p>
    <w:p w:rsidR="00B72EE3" w:rsidRDefault="00B4698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Структура курсу</w:t>
      </w:r>
    </w:p>
    <w:p w:rsidR="00B72EE3" w:rsidRDefault="00B4698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Система оцінювання курсу</w:t>
      </w:r>
    </w:p>
    <w:p w:rsidR="00B72EE3" w:rsidRDefault="00B4698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Оцінювання відповідно до графіку навчального процесу</w:t>
      </w:r>
    </w:p>
    <w:p w:rsidR="00B72EE3" w:rsidRDefault="00B4698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Ресурсне забезпечення</w:t>
      </w:r>
    </w:p>
    <w:p w:rsidR="00B72EE3" w:rsidRDefault="00B4698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Контактна інформація</w:t>
      </w:r>
    </w:p>
    <w:p w:rsidR="00B72EE3" w:rsidRDefault="00B46981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Політика навчальної дисципліни</w:t>
      </w:r>
    </w:p>
    <w:p w:rsidR="00B72EE3" w:rsidRDefault="00B72EE3"/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72EE3">
      <w:pPr>
        <w:jc w:val="both"/>
        <w:rPr>
          <w:sz w:val="28"/>
          <w:szCs w:val="28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Загальна інформація</w:t>
      </w: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3"/>
        <w:gridCol w:w="5762"/>
      </w:tblGrid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дисципліни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 технічного перекладу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Освітня програма 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«Інформатика»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Відсутня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Інженерія програмного забезпечення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Інформаційні технології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Освітній рівень 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Бакалавр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Статус дисципліни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Вибіркова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/ семестр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 семестр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Розподіл за видами занять та</w:t>
            </w:r>
          </w:p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годинами навчання (якщо передбачені інші види, додати)</w:t>
            </w:r>
          </w:p>
        </w:tc>
        <w:tc>
          <w:tcPr>
            <w:tcW w:w="5762" w:type="dxa"/>
          </w:tcPr>
          <w:p w:rsidR="00B72EE3" w:rsidRDefault="00B46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 заняття – 30 год.</w:t>
            </w:r>
          </w:p>
          <w:p w:rsidR="00B72EE3" w:rsidRDefault="00B46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60 год.</w:t>
            </w:r>
          </w:p>
          <w:p w:rsidR="00B72EE3" w:rsidRDefault="00B46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 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Мова викладання</w:t>
            </w:r>
          </w:p>
        </w:tc>
        <w:tc>
          <w:tcPr>
            <w:tcW w:w="5762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Англійська</w:t>
            </w:r>
          </w:p>
        </w:tc>
      </w:tr>
      <w:tr w:rsidR="00B72EE3">
        <w:tc>
          <w:tcPr>
            <w:tcW w:w="3583" w:type="dxa"/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762" w:type="dxa"/>
          </w:tcPr>
          <w:p w:rsidR="00B72EE3" w:rsidRDefault="00856103">
            <w:pPr>
              <w:spacing w:before="240" w:after="240"/>
            </w:pPr>
            <w:hyperlink r:id="rId7">
              <w:r w:rsidR="00B46981">
                <w:rPr>
                  <w:color w:val="1155CC"/>
                  <w:sz w:val="28"/>
                  <w:szCs w:val="28"/>
                  <w:u w:val="single"/>
                </w:rPr>
                <w:t>https://d-learn.pro</w:t>
              </w:r>
            </w:hyperlink>
          </w:p>
        </w:tc>
      </w:tr>
    </w:tbl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Опис дисципліни</w:t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B72EE3">
        <w:tc>
          <w:tcPr>
            <w:tcW w:w="9345" w:type="dxa"/>
          </w:tcPr>
          <w:p w:rsidR="00B72EE3" w:rsidRDefault="00B4698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Метою викладання курсу «Практика технічного перекладу»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 </w:t>
            </w:r>
          </w:p>
          <w:p w:rsidR="00B72EE3" w:rsidRDefault="00B4698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«Практика технічного перекладу» носить міждисциплінарний характер та реалізується засобами предметно-</w:t>
            </w:r>
            <w:proofErr w:type="spellStart"/>
            <w:r>
              <w:rPr>
                <w:color w:val="000000"/>
                <w:sz w:val="28"/>
                <w:szCs w:val="28"/>
              </w:rPr>
              <w:t>мовного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B72EE3">
        <w:tc>
          <w:tcPr>
            <w:tcW w:w="9345" w:type="dxa"/>
          </w:tcPr>
          <w:p w:rsidR="00B72EE3" w:rsidRDefault="00B4698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Розвинути компетентності: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ЗК02. Здатність спілкуватися іноземною мовою як усно, так і письмово.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Ум2. Здатність інтегрувати знання та розв’язувати складні задачі у широких або </w:t>
            </w:r>
            <w:proofErr w:type="spellStart"/>
            <w:r>
              <w:rPr>
                <w:sz w:val="28"/>
                <w:szCs w:val="28"/>
              </w:rPr>
              <w:t>мультидисциплінарних</w:t>
            </w:r>
            <w:proofErr w:type="spellEnd"/>
            <w:r>
              <w:rPr>
                <w:sz w:val="28"/>
                <w:szCs w:val="28"/>
              </w:rPr>
              <w:t xml:space="preserve"> контекстах.</w:t>
            </w:r>
          </w:p>
          <w:p w:rsidR="00B72EE3" w:rsidRDefault="00B469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К1. Зрозуміле і недвозначне донесення власних знань, висновків та аргументації до фахівців і нефахівців, зокрема, до осіб, які навчаються.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72EE3">
        <w:tc>
          <w:tcPr>
            <w:tcW w:w="9345" w:type="dxa"/>
          </w:tcPr>
          <w:p w:rsidR="00B72EE3" w:rsidRDefault="00B4698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Досягти програмних результатів: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РН01 Знати і застосовувати сучасні професійні стандарти і інші нормативно-правові документи з інженерії програмного забезпечення.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РН04 Виявляти інформаційні потреби і класифікувати дані для проектування програмного забезпечення.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РН15 Здійснювати реінжиніринг програмного забезпечення відповідно до вимог замовника.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РН16 Планувати, організовувати та здійснювати тестування, верифікацію та </w:t>
            </w:r>
            <w:proofErr w:type="spellStart"/>
            <w:r>
              <w:rPr>
                <w:sz w:val="28"/>
                <w:szCs w:val="28"/>
              </w:rPr>
              <w:t>валідацію</w:t>
            </w:r>
            <w:proofErr w:type="spellEnd"/>
            <w:r>
              <w:rPr>
                <w:sz w:val="28"/>
                <w:szCs w:val="28"/>
              </w:rPr>
              <w:t xml:space="preserve"> програмного забезпечення.</w:t>
            </w:r>
          </w:p>
          <w:p w:rsidR="00B72EE3" w:rsidRDefault="00B469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РН17 Збирати, аналізувати, оцінювати необхідну для розв’язання наукових і прикладних задач інформацію, використовуючи науково-технічну літературу, бази даних та інші джерела.</w:t>
            </w:r>
          </w:p>
        </w:tc>
      </w:tr>
    </w:tbl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Структура курсу</w:t>
      </w:r>
    </w:p>
    <w:tbl>
      <w:tblPr>
        <w:tblStyle w:val="af2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6"/>
        <w:gridCol w:w="3331"/>
        <w:gridCol w:w="3490"/>
        <w:gridCol w:w="1708"/>
      </w:tblGrid>
      <w:tr w:rsidR="00B72EE3">
        <w:trPr>
          <w:trHeight w:val="5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 навчання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</w:t>
            </w:r>
          </w:p>
        </w:tc>
      </w:tr>
      <w:tr w:rsidR="00B72EE3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Fundamentals of Software Engineering. Basics of technical translation. Compelling conversations.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</w:t>
            </w:r>
            <w:r>
              <w:rPr>
                <w:color w:val="000000"/>
                <w:sz w:val="28"/>
                <w:szCs w:val="28"/>
              </w:rPr>
              <w:t xml:space="preserve"> аналізувати та порів</w:t>
            </w:r>
            <w:r>
              <w:rPr>
                <w:sz w:val="28"/>
                <w:szCs w:val="28"/>
              </w:rPr>
              <w:t>нювати</w:t>
            </w:r>
            <w:r>
              <w:rPr>
                <w:color w:val="000000"/>
                <w:sz w:val="28"/>
                <w:szCs w:val="28"/>
              </w:rPr>
              <w:t xml:space="preserve"> зразк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фахових текстів </w:t>
            </w:r>
            <w:proofErr w:type="spellStart"/>
            <w:r>
              <w:rPr>
                <w:color w:val="000000"/>
                <w:sz w:val="28"/>
                <w:szCs w:val="28"/>
              </w:rPr>
              <w:t>укр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та </w:t>
            </w:r>
            <w:proofErr w:type="spellStart"/>
            <w:r>
              <w:rPr>
                <w:color w:val="000000"/>
                <w:sz w:val="28"/>
                <w:szCs w:val="28"/>
              </w:rPr>
              <w:t>англ</w:t>
            </w:r>
            <w:proofErr w:type="spellEnd"/>
            <w:r>
              <w:rPr>
                <w:color w:val="000000"/>
                <w:sz w:val="28"/>
                <w:szCs w:val="28"/>
              </w:rPr>
              <w:t>. мовами.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презентація, гов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оріння</w:t>
            </w:r>
          </w:p>
        </w:tc>
      </w:tr>
      <w:tr w:rsidR="00B72EE3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Software Construction Activities. Finding antonyms/ synonyms/derivatives.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</w:t>
            </w:r>
            <w:r>
              <w:rPr>
                <w:sz w:val="28"/>
                <w:szCs w:val="28"/>
              </w:rPr>
              <w:t>ти</w:t>
            </w:r>
            <w:r>
              <w:rPr>
                <w:color w:val="000000"/>
                <w:sz w:val="28"/>
                <w:szCs w:val="28"/>
              </w:rPr>
              <w:t xml:space="preserve"> та переклад</w:t>
            </w:r>
            <w:r>
              <w:rPr>
                <w:sz w:val="28"/>
                <w:szCs w:val="28"/>
              </w:rPr>
              <w:t>ати</w:t>
            </w:r>
            <w:r>
              <w:rPr>
                <w:color w:val="000000"/>
                <w:sz w:val="28"/>
                <w:szCs w:val="28"/>
              </w:rPr>
              <w:t xml:space="preserve">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, порівн</w:t>
            </w:r>
            <w:r>
              <w:rPr>
                <w:sz w:val="28"/>
                <w:szCs w:val="28"/>
              </w:rPr>
              <w:t>ювати</w:t>
            </w:r>
            <w:r>
              <w:rPr>
                <w:color w:val="000000"/>
                <w:sz w:val="28"/>
                <w:szCs w:val="28"/>
              </w:rPr>
              <w:t xml:space="preserve"> та комент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переклад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розпізнавати</w:t>
            </w:r>
            <w:r>
              <w:rPr>
                <w:color w:val="000000"/>
                <w:sz w:val="28"/>
                <w:szCs w:val="28"/>
              </w:rPr>
              <w:t xml:space="preserve"> антонім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, синонім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та похід</w:t>
            </w:r>
            <w:r>
              <w:rPr>
                <w:sz w:val="28"/>
                <w:szCs w:val="28"/>
              </w:rPr>
              <w:t>ні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практичне: виконання вправ, говоріння </w:t>
            </w:r>
          </w:p>
        </w:tc>
      </w:tr>
      <w:tr w:rsidR="00B72EE3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Software Development. Problems of technical translation. Essential job and work vocabulary.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темою; перекладати фахов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практичне: виконання вправ, говоріння </w:t>
            </w:r>
          </w:p>
        </w:tc>
      </w:tr>
      <w:tr w:rsidR="00B72EE3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Activities in Programming. Practicing reading, translating and retelling the technical text.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Практикувати п</w:t>
            </w:r>
            <w:r>
              <w:rPr>
                <w:color w:val="000000"/>
                <w:sz w:val="28"/>
                <w:szCs w:val="28"/>
              </w:rPr>
              <w:t xml:space="preserve">ереклад неоднозначних слів, вміти </w:t>
            </w:r>
            <w:r>
              <w:rPr>
                <w:sz w:val="28"/>
                <w:szCs w:val="28"/>
              </w:rPr>
              <w:t>вибирати</w:t>
            </w:r>
            <w:r>
              <w:rPr>
                <w:color w:val="000000"/>
                <w:sz w:val="28"/>
                <w:szCs w:val="28"/>
              </w:rPr>
              <w:t xml:space="preserve"> варіантн</w:t>
            </w:r>
            <w:r>
              <w:rPr>
                <w:sz w:val="28"/>
                <w:szCs w:val="28"/>
              </w:rPr>
              <w:t>ий</w:t>
            </w:r>
            <w:r>
              <w:rPr>
                <w:color w:val="000000"/>
                <w:sz w:val="28"/>
                <w:szCs w:val="28"/>
              </w:rPr>
              <w:t xml:space="preserve"> відповідник, </w:t>
            </w:r>
            <w:r>
              <w:rPr>
                <w:sz w:val="28"/>
                <w:szCs w:val="28"/>
              </w:rPr>
              <w:t>працювати</w:t>
            </w:r>
            <w:r>
              <w:rPr>
                <w:color w:val="000000"/>
                <w:sz w:val="28"/>
                <w:szCs w:val="28"/>
              </w:rPr>
              <w:t xml:space="preserve"> з фаховим текстом та </w:t>
            </w:r>
            <w:proofErr w:type="spellStart"/>
            <w:r>
              <w:rPr>
                <w:color w:val="000000"/>
                <w:sz w:val="28"/>
                <w:szCs w:val="28"/>
              </w:rPr>
              <w:t>вокабуляром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виконання письмових вправ</w:t>
            </w:r>
          </w:p>
        </w:tc>
      </w:tr>
      <w:tr w:rsidR="00B72EE3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Software Construction Fundamentals. Minimizing Complexity. Reported Speech in Software. Module work.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</w:t>
            </w:r>
            <w:r>
              <w:rPr>
                <w:color w:val="000000"/>
                <w:sz w:val="28"/>
                <w:szCs w:val="28"/>
              </w:rPr>
              <w:t>вати лексику за темою;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72EE3" w:rsidRDefault="00B72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контрольне завдання</w:t>
            </w:r>
          </w:p>
        </w:tc>
      </w:tr>
      <w:tr w:rsidR="00B72EE3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Constructing for Verification. The Use of Internal Standards. Relative Clauses.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Практикувати переклад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фахової</w:t>
            </w:r>
            <w:r>
              <w:rPr>
                <w:color w:val="000000"/>
                <w:sz w:val="28"/>
                <w:szCs w:val="28"/>
              </w:rPr>
              <w:t xml:space="preserve"> термінології та технічних </w:t>
            </w:r>
            <w:r>
              <w:rPr>
                <w:sz w:val="28"/>
                <w:szCs w:val="28"/>
              </w:rPr>
              <w:t>текстів.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</w:t>
            </w:r>
          </w:p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лексико-гра-</w:t>
            </w:r>
            <w:proofErr w:type="spellStart"/>
            <w:r>
              <w:rPr>
                <w:sz w:val="28"/>
                <w:szCs w:val="28"/>
              </w:rPr>
              <w:t>матичних</w:t>
            </w:r>
            <w:proofErr w:type="spellEnd"/>
            <w:r>
              <w:rPr>
                <w:sz w:val="28"/>
                <w:szCs w:val="28"/>
              </w:rPr>
              <w:t xml:space="preserve"> завдань.</w:t>
            </w:r>
          </w:p>
        </w:tc>
      </w:tr>
      <w:tr w:rsidR="00B72EE3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Scientific Writing and its translation. Structure of a typical email.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працювати</w:t>
            </w:r>
            <w:r>
              <w:rPr>
                <w:color w:val="000000"/>
                <w:sz w:val="28"/>
                <w:szCs w:val="28"/>
              </w:rPr>
              <w:t xml:space="preserve"> з науковими текстами, виокремл</w:t>
            </w:r>
            <w:r>
              <w:rPr>
                <w:sz w:val="28"/>
                <w:szCs w:val="28"/>
              </w:rPr>
              <w:t>ювати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мовн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фрази та </w:t>
            </w:r>
            <w:r>
              <w:rPr>
                <w:sz w:val="28"/>
                <w:szCs w:val="28"/>
              </w:rPr>
              <w:t>вміти їх</w:t>
            </w:r>
            <w:r>
              <w:rPr>
                <w:color w:val="000000"/>
                <w:sz w:val="28"/>
                <w:szCs w:val="28"/>
              </w:rPr>
              <w:t xml:space="preserve"> перекла</w:t>
            </w:r>
            <w:r>
              <w:rPr>
                <w:sz w:val="28"/>
                <w:szCs w:val="28"/>
              </w:rPr>
              <w:t>дати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практика перекладу</w:t>
            </w:r>
          </w:p>
        </w:tc>
      </w:tr>
      <w:tr w:rsidR="00B72EE3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Module work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Лексико-граматичний контроль; тестування.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</w:t>
            </w:r>
          </w:p>
        </w:tc>
      </w:tr>
      <w:tr w:rsidR="00B72EE3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Formal and Informal words and phrases. Translation practice. Writing a formal email. Presentation.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презентувати переклад тексту.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</w:t>
            </w:r>
          </w:p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презентація</w:t>
            </w:r>
          </w:p>
        </w:tc>
      </w:tr>
      <w:tr w:rsidR="00B72EE3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6D4FCB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Construction models and Construction Planning. Translation exercises. Grammar Revision: Perfect Tenses.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Здійснювати к</w:t>
            </w:r>
            <w:r>
              <w:rPr>
                <w:color w:val="000000"/>
                <w:sz w:val="28"/>
                <w:szCs w:val="28"/>
              </w:rPr>
              <w:t xml:space="preserve">омплексні вправи з різних граматичних труднощів </w:t>
            </w:r>
            <w:proofErr w:type="spellStart"/>
            <w:r>
              <w:rPr>
                <w:color w:val="000000"/>
                <w:sz w:val="28"/>
                <w:szCs w:val="28"/>
              </w:rPr>
              <w:t>техн</w:t>
            </w:r>
            <w:proofErr w:type="spellEnd"/>
            <w:r>
              <w:rPr>
                <w:color w:val="000000"/>
                <w:sz w:val="28"/>
                <w:szCs w:val="28"/>
              </w:rPr>
              <w:t>. перекладу;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практика перекладу, виконання вправ</w:t>
            </w:r>
          </w:p>
        </w:tc>
      </w:tr>
      <w:tr w:rsidR="00B72EE3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6D4FCB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bookmarkStart w:id="1" w:name="_heading=h.gjdgxs" w:colFirst="0" w:colLast="0"/>
            <w:bookmarkEnd w:id="1"/>
            <w:r w:rsidRPr="00637505">
              <w:rPr>
                <w:color w:val="000000"/>
                <w:sz w:val="28"/>
                <w:szCs w:val="28"/>
                <w:lang w:val="en-US"/>
              </w:rPr>
              <w:t>Speaking on: Software Design, Software Testing, Coding and Debugging. Vocabulary practice.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Усн</w:t>
            </w:r>
            <w:r>
              <w:rPr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розповідати</w:t>
            </w:r>
            <w:r>
              <w:rPr>
                <w:color w:val="000000"/>
                <w:sz w:val="28"/>
                <w:szCs w:val="28"/>
              </w:rPr>
              <w:t xml:space="preserve">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для закріплення вивченої лексики.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виконання вправ, говоріння</w:t>
            </w:r>
          </w:p>
        </w:tc>
      </w:tr>
      <w:tr w:rsidR="00B72EE3">
        <w:trPr>
          <w:trHeight w:val="5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6D4FCB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4698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Basics of Software Modelling. Translation exercises. Absolute Participle Construction. Absolute Nominative Complex.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інформаці</w:t>
            </w:r>
            <w:r>
              <w:rPr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за темою; перекладати тексти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практика перекладу, говоріння</w:t>
            </w:r>
          </w:p>
        </w:tc>
      </w:tr>
      <w:tr w:rsidR="00B72EE3">
        <w:trPr>
          <w:trHeight w:val="11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>Word Combinations and terms in Software. Writing: kiss principle, short forms. Prepositions.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Формувати навички перекладу</w:t>
            </w:r>
            <w:r>
              <w:rPr>
                <w:color w:val="000000"/>
                <w:sz w:val="28"/>
                <w:szCs w:val="28"/>
              </w:rPr>
              <w:t xml:space="preserve"> фахових зразків текстів за темою;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лексико-граматичн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практичне: практика перекладу, питання</w:t>
            </w:r>
          </w:p>
        </w:tc>
      </w:tr>
      <w:tr w:rsidR="00B72EE3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 xml:space="preserve">Models for communication. Translation practice. Writing a </w:t>
            </w:r>
            <w:r w:rsidRPr="00637505">
              <w:rPr>
                <w:sz w:val="28"/>
                <w:szCs w:val="28"/>
                <w:lang w:val="en-US"/>
              </w:rPr>
              <w:t>summary</w:t>
            </w:r>
            <w:r w:rsidRPr="00637505">
              <w:rPr>
                <w:color w:val="000000"/>
                <w:sz w:val="28"/>
                <w:szCs w:val="28"/>
                <w:lang w:val="en-US"/>
              </w:rPr>
              <w:t>. Revision.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переклад технічного тексту. Вміти відповідати на </w:t>
            </w:r>
            <w:r>
              <w:rPr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лок запитань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 практика перекладу, питання</w:t>
            </w:r>
          </w:p>
        </w:tc>
      </w:tr>
      <w:tr w:rsidR="00B72EE3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 w:rsidP="006D4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Pr="00637505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37505">
              <w:rPr>
                <w:color w:val="000000"/>
                <w:sz w:val="28"/>
                <w:szCs w:val="28"/>
                <w:lang w:val="en-US"/>
              </w:rPr>
              <w:t xml:space="preserve"> Exam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Лексико-граматичний контроль; тестування.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комбінована форма</w:t>
            </w:r>
          </w:p>
        </w:tc>
      </w:tr>
    </w:tbl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2" w:name="_Hlk125757789"/>
      <w:r>
        <w:rPr>
          <w:b/>
          <w:color w:val="000000"/>
          <w:sz w:val="28"/>
          <w:szCs w:val="28"/>
        </w:rPr>
        <w:t>4. Система оцінювання курсу</w:t>
      </w:r>
    </w:p>
    <w:tbl>
      <w:tblPr>
        <w:tblStyle w:val="af3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93"/>
        <w:gridCol w:w="6058"/>
      </w:tblGrid>
      <w:tr w:rsidR="00B72EE3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r>
              <w:rPr>
                <w:color w:val="000000"/>
              </w:rPr>
              <w:t>                      Накопичування балів під час вивчення дисципліни</w:t>
            </w:r>
          </w:p>
        </w:tc>
      </w:tr>
      <w:tr w:rsidR="00B72EE3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r>
              <w:rPr>
                <w:color w:val="000000"/>
              </w:rPr>
              <w:t>Види навчальної роботи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Максимальна кількість балів</w:t>
            </w:r>
          </w:p>
        </w:tc>
      </w:tr>
      <w:tr w:rsidR="00B72EE3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r>
              <w:rPr>
                <w:color w:val="000000"/>
              </w:rPr>
              <w:t>Практичне  заняття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B72EE3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r>
              <w:rPr>
                <w:color w:val="000000"/>
              </w:rPr>
              <w:t>Самостійна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B72EE3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r>
              <w:rPr>
                <w:color w:val="000000"/>
              </w:rPr>
              <w:t>Екзамен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B72EE3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r>
              <w:rPr>
                <w:color w:val="000000"/>
              </w:rPr>
              <w:t>Максимальна кількість балів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</w:tbl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5. Оцінювання відповідно до графіку навчального процесу </w:t>
      </w:r>
    </w:p>
    <w:tbl>
      <w:tblPr>
        <w:tblStyle w:val="af4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77"/>
      </w:tblGrid>
      <w:tr w:rsidR="00B72EE3">
        <w:trPr>
          <w:trHeight w:val="226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Види навчальної</w:t>
            </w:r>
            <w:r>
              <w:rPr>
                <w:color w:val="000000"/>
              </w:rPr>
              <w:br/>
              <w:t>роботи</w:t>
            </w:r>
          </w:p>
        </w:tc>
        <w:tc>
          <w:tcPr>
            <w:tcW w:w="69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Навчальні тижні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Разом</w:t>
            </w:r>
          </w:p>
        </w:tc>
      </w:tr>
      <w:tr w:rsidR="00B72EE3">
        <w:trPr>
          <w:trHeight w:val="27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17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72EE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Практичні    </w:t>
            </w:r>
          </w:p>
          <w:p w:rsidR="00B72EE3" w:rsidRDefault="00B46981">
            <w:r>
              <w:rPr>
                <w:color w:val="000000"/>
              </w:rPr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B72EE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B72EE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Екзамен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B72EE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rPr>
                <w:color w:val="000000"/>
              </w:rPr>
              <w:t>Всього за тиждень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72EE3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EE3" w:rsidRDefault="00B46981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</w:tbl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B72EE3" w:rsidRDefault="00B469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Примітка:</w:t>
      </w:r>
      <w:r>
        <w:rPr>
          <w:color w:val="000000"/>
          <w:sz w:val="18"/>
          <w:szCs w:val="18"/>
        </w:rPr>
        <w:t xml:space="preserve"> не рекомендується на один тиждень планувати кілька форм контролю.</w:t>
      </w:r>
    </w:p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bookmarkEnd w:id="2"/>
    <w:p w:rsidR="00B72EE3" w:rsidRPr="000D36E2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0D36E2">
        <w:rPr>
          <w:b/>
          <w:color w:val="000000"/>
          <w:sz w:val="28"/>
          <w:szCs w:val="28"/>
        </w:rPr>
        <w:t>6. Ресурсне забезпечення</w:t>
      </w:r>
    </w:p>
    <w:tbl>
      <w:tblPr>
        <w:tblStyle w:val="af5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92"/>
        <w:gridCol w:w="3353"/>
      </w:tblGrid>
      <w:tr w:rsidR="00B72EE3" w:rsidRPr="000D36E2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Pr="000D36E2" w:rsidRDefault="00B46981">
            <w:pPr>
              <w:jc w:val="center"/>
              <w:rPr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Pr="000D36E2" w:rsidRDefault="00B46981">
            <w:pPr>
              <w:jc w:val="center"/>
              <w:rPr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Мультимедіа, </w:t>
            </w:r>
            <w:r w:rsidRPr="000D36E2">
              <w:rPr>
                <w:color w:val="000000"/>
                <w:sz w:val="28"/>
                <w:szCs w:val="28"/>
              </w:rPr>
              <w:br/>
              <w:t>комп’ютери та інше</w:t>
            </w:r>
          </w:p>
        </w:tc>
      </w:tr>
      <w:tr w:rsidR="00B72EE3" w:rsidRPr="000D36E2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72EE3" w:rsidRPr="000D36E2" w:rsidRDefault="00B4698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Література:</w:t>
            </w:r>
            <w:r w:rsidRPr="000D36E2">
              <w:rPr>
                <w:color w:val="000000"/>
                <w:sz w:val="28"/>
                <w:szCs w:val="28"/>
              </w:rPr>
              <w:br/>
            </w:r>
            <w:r w:rsidRPr="000D36E2">
              <w:rPr>
                <w:b/>
                <w:color w:val="000000"/>
                <w:sz w:val="28"/>
                <w:szCs w:val="28"/>
              </w:rPr>
              <w:t>Базова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Карабан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В. І. Переклад англійської наукової і технічної літератури. Граматичні труднощі, лексичні, термінологічні та жанрово-стилістичні проблеми: навчальний посібник. Вид. 5-те. Вінниця : Нова Книга, 2018. 656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Богацький І.С.,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Дюканова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Н. М. Бізнес-курс англійської мови. К.: ТОВ “ВП Логос-М”, 2009. 352 с. 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Презентації діловою англійською мовою =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Presentations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in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Business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[Текст]: навчальний посібник для практичної та індивідуальної робіт з англійської мови за професійним спрямуванням / [уклад. О. В. Ємельянова]; Державний вищий навчальний заклад “Українська академія банківської справи Національного банку України”. Суми : ДВНЗ “УАБС НБУ”, 2010. 67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Румянцева О. А. 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mathematicians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intensive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course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students-mathematicians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The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Institute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Mathematics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Economics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and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Mechanics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]. ОНУ імені І. І. Мечникова. Одеса, 2015. 145</w:t>
            </w:r>
            <w:r w:rsidR="005E49D3">
              <w:rPr>
                <w:color w:val="000000"/>
                <w:sz w:val="28"/>
                <w:szCs w:val="28"/>
              </w:rPr>
              <w:t> </w:t>
            </w:r>
            <w:r w:rsidRPr="000D36E2">
              <w:rPr>
                <w:color w:val="000000"/>
                <w:sz w:val="28"/>
                <w:szCs w:val="28"/>
              </w:rPr>
              <w:t>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Jenny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Dooley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Virginia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Evans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Grammarway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4. Express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Publishing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, 2013. 224 c.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Кнодель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Л. В. Англійська мова для магістрів.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Навч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посіб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. К.: Вид. ПАЛИВОДА А.В., 2008. 336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Yakhontova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T.V.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academic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writing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students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and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researchers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./  Основи англомовного наукового письма.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Навч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посібник для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студентів,аспірантів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і викладачів. Вид.2-е. Львів: ПАІС, 2003. 220</w:t>
            </w:r>
            <w:r w:rsidR="005E49D3">
              <w:rPr>
                <w:color w:val="000000"/>
                <w:sz w:val="28"/>
                <w:szCs w:val="28"/>
              </w:rPr>
              <w:t> </w:t>
            </w:r>
            <w:r w:rsidRPr="000D36E2">
              <w:rPr>
                <w:color w:val="000000"/>
                <w:sz w:val="28"/>
                <w:szCs w:val="28"/>
              </w:rPr>
              <w:t>с.</w:t>
            </w:r>
          </w:p>
          <w:p w:rsidR="00B72EE3" w:rsidRPr="000D36E2" w:rsidRDefault="00856103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hyperlink r:id="rId8">
              <w:r w:rsidR="00B46981" w:rsidRPr="000D36E2">
                <w:rPr>
                  <w:color w:val="000000"/>
                  <w:sz w:val="28"/>
                  <w:szCs w:val="28"/>
                  <w:u w:val="single"/>
                </w:rPr>
                <w:t>English Communication for Scientists</w:t>
              </w:r>
            </w:hyperlink>
            <w:r w:rsidR="00B46981" w:rsidRPr="000D36E2">
              <w:rPr>
                <w:color w:val="000000"/>
                <w:sz w:val="28"/>
                <w:szCs w:val="28"/>
              </w:rPr>
              <w:t xml:space="preserve">. Електронний ресурс. Джерело доступу: </w:t>
            </w:r>
            <w:hyperlink r:id="rId9">
              <w:r w:rsidR="00B46981" w:rsidRPr="000D36E2">
                <w:rPr>
                  <w:color w:val="0000FF"/>
                  <w:sz w:val="28"/>
                  <w:szCs w:val="28"/>
                  <w:u w:val="single"/>
                </w:rPr>
                <w:t>http://www.nature.com/scitable/ebooks/english-communication-for-scientists-14053993/contents</w:t>
              </w:r>
            </w:hyperlink>
            <w:r w:rsidR="00B46981" w:rsidRPr="000D36E2">
              <w:rPr>
                <w:color w:val="000000"/>
                <w:sz w:val="28"/>
                <w:szCs w:val="28"/>
              </w:rPr>
              <w:t>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Professional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Fundamentals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Software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Engineering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навч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посіб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. / О. 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Акмалдінова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, О. Бугайов, Л.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Теремінко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, О.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Гурська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, Т. Мислива, Н.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Муркіна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. Київ : НАУ, 2015. 300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Raymond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Murphy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Grammar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in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Use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: a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self-study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reference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and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practice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book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intermediate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learners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Fifth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Edition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Cambridge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University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Press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, 2019. 380 p.</w:t>
            </w:r>
          </w:p>
          <w:p w:rsidR="00B72EE3" w:rsidRPr="000D36E2" w:rsidRDefault="00B72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sz w:val="28"/>
                <w:szCs w:val="28"/>
              </w:rPr>
            </w:pPr>
          </w:p>
          <w:p w:rsidR="00B72EE3" w:rsidRPr="000D36E2" w:rsidRDefault="00B72EE3">
            <w:pPr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:rsidR="00B72EE3" w:rsidRPr="000D36E2" w:rsidRDefault="00B4698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D36E2">
              <w:rPr>
                <w:b/>
                <w:color w:val="000000"/>
                <w:sz w:val="28"/>
                <w:szCs w:val="28"/>
              </w:rPr>
              <w:t>Допоміжна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Мансі Є.О.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. Фонетика, граматика, тексти, діалоги, розмовні теми. Підручник. Для студентів немовних факультетів вищих навчальних закладів. Київ : ВЦ «Академія», 2004. 368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Мансі Є.О.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Тексти. Підручник. Для студентів гуманітарних,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прир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-географ. і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матем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. факультетів вищих навчальних закладів. Київ : ВЦ «Академія», 2004. 528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Газета «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Learner’s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Digest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».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Англо-український словник /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Гороть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Є. І.,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Коцюк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Л. М.,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Малімон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Л. К., Павлюк А. Б./ Вінниця : Нова Книга, 2006. 1700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Українсько-англійський словник /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Гороть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Є.І., Бєлова С.В.,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Малімон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Л.К. / Вінниця: Нова Книга, 2009. 1040 с.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Oxford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Collocations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Dictionary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students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Oxford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University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Press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, 2005.  898 p.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0D36E2">
              <w:rPr>
                <w:color w:val="000000"/>
                <w:sz w:val="28"/>
                <w:szCs w:val="28"/>
              </w:rPr>
              <w:t>Hornby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A. S.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Oxford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Advanced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Learner’s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Dictionary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Current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Oxford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University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Press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, 2000. 1540 p.</w:t>
            </w:r>
          </w:p>
          <w:p w:rsidR="00B72EE3" w:rsidRPr="000D36E2" w:rsidRDefault="00B46981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 A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Way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to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Success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English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for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University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Students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Teacher’s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Book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/ Н. 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В.Тучина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, І. В. 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Жарковська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 xml:space="preserve"> та ін. Харків : Фоліо. 2004. 416 с.</w:t>
            </w:r>
          </w:p>
          <w:p w:rsidR="00B72EE3" w:rsidRPr="000D36E2" w:rsidRDefault="00B4698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D36E2">
              <w:rPr>
                <w:sz w:val="28"/>
                <w:szCs w:val="28"/>
              </w:rPr>
              <w:t> </w:t>
            </w:r>
          </w:p>
          <w:p w:rsidR="00B72EE3" w:rsidRPr="000D36E2" w:rsidRDefault="00B46981">
            <w:pPr>
              <w:jc w:val="center"/>
              <w:rPr>
                <w:sz w:val="28"/>
                <w:szCs w:val="28"/>
              </w:rPr>
            </w:pPr>
            <w:r w:rsidRPr="000D36E2">
              <w:rPr>
                <w:b/>
                <w:color w:val="000000"/>
                <w:sz w:val="28"/>
                <w:szCs w:val="28"/>
              </w:rPr>
              <w:t>Інформаційні ресурси:</w:t>
            </w:r>
          </w:p>
          <w:p w:rsidR="00B72EE3" w:rsidRPr="000D36E2" w:rsidRDefault="00856103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hyperlink r:id="rId10">
              <w:r w:rsidR="00B46981" w:rsidRPr="000D36E2">
                <w:rPr>
                  <w:color w:val="0000FF"/>
                  <w:sz w:val="28"/>
                  <w:szCs w:val="28"/>
                  <w:u w:val="single"/>
                </w:rPr>
                <w:t>http://ukraine-education.com/</w:t>
              </w:r>
            </w:hyperlink>
          </w:p>
          <w:p w:rsidR="00B72EE3" w:rsidRPr="000D36E2" w:rsidRDefault="00856103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hyperlink r:id="rId11">
              <w:r w:rsidR="00B46981" w:rsidRPr="000D36E2">
                <w:rPr>
                  <w:color w:val="0000FF"/>
                  <w:sz w:val="28"/>
                  <w:szCs w:val="28"/>
                  <w:u w:val="single"/>
                </w:rPr>
                <w:t>http://www.ukrtravel.com/education_in_ukraine.htm</w:t>
              </w:r>
            </w:hyperlink>
          </w:p>
          <w:p w:rsidR="00B72EE3" w:rsidRPr="000D36E2" w:rsidRDefault="00856103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hyperlink r:id="rId12">
              <w:r w:rsidR="00B46981" w:rsidRPr="000D36E2">
                <w:rPr>
                  <w:color w:val="0000FF"/>
                  <w:sz w:val="28"/>
                  <w:szCs w:val="28"/>
                  <w:u w:val="single"/>
                </w:rPr>
                <w:t>http://education.stateuniversity.com</w:t>
              </w:r>
            </w:hyperlink>
          </w:p>
          <w:p w:rsidR="00B72EE3" w:rsidRPr="000D36E2" w:rsidRDefault="00856103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hyperlink r:id="rId13">
              <w:r w:rsidR="00B46981" w:rsidRPr="000D36E2">
                <w:rPr>
                  <w:color w:val="0000FF"/>
                  <w:sz w:val="28"/>
                  <w:szCs w:val="28"/>
                  <w:u w:val="single"/>
                </w:rPr>
                <w:t>http://ednu.kiev.ua/edu_se_prim.htm</w:t>
              </w:r>
            </w:hyperlink>
          </w:p>
          <w:p w:rsidR="00B72EE3" w:rsidRPr="000D36E2" w:rsidRDefault="00B46981">
            <w:pPr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http://ec.europa.eu/education/more-information/doc/2011/ukraine_en.pdf</w:t>
            </w:r>
          </w:p>
          <w:p w:rsidR="00B72EE3" w:rsidRPr="000D36E2" w:rsidRDefault="00B46981">
            <w:pPr>
              <w:rPr>
                <w:sz w:val="28"/>
                <w:szCs w:val="28"/>
              </w:rPr>
            </w:pPr>
            <w:r w:rsidRPr="000D36E2">
              <w:rPr>
                <w:sz w:val="28"/>
                <w:szCs w:val="28"/>
              </w:rPr>
              <w:t xml:space="preserve"> </w:t>
            </w:r>
          </w:p>
        </w:tc>
      </w:tr>
    </w:tbl>
    <w:p w:rsidR="00B72EE3" w:rsidRPr="000D36E2" w:rsidRDefault="00B72E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72EE3" w:rsidRPr="000D36E2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0D36E2">
        <w:rPr>
          <w:b/>
          <w:color w:val="000000"/>
          <w:sz w:val="28"/>
          <w:szCs w:val="28"/>
        </w:rPr>
        <w:t>7. Контактна інформація</w:t>
      </w:r>
    </w:p>
    <w:tbl>
      <w:tblPr>
        <w:tblStyle w:val="a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6879"/>
      </w:tblGrid>
      <w:tr w:rsidR="00B72EE3" w:rsidRPr="000D36E2">
        <w:tc>
          <w:tcPr>
            <w:tcW w:w="2466" w:type="dxa"/>
          </w:tcPr>
          <w:p w:rsidR="00B72EE3" w:rsidRPr="000D36E2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6879" w:type="dxa"/>
          </w:tcPr>
          <w:p w:rsidR="00B72EE3" w:rsidRPr="000D36E2" w:rsidRDefault="00B46981">
            <w:pPr>
              <w:rPr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 xml:space="preserve">Іноземних мов, </w:t>
            </w:r>
            <w:proofErr w:type="spellStart"/>
            <w:r w:rsidRPr="000D36E2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0D36E2">
              <w:rPr>
                <w:color w:val="000000"/>
                <w:sz w:val="28"/>
                <w:szCs w:val="28"/>
              </w:rPr>
              <w:t>. 707,</w:t>
            </w:r>
          </w:p>
          <w:p w:rsidR="00B72EE3" w:rsidRPr="000D36E2" w:rsidRDefault="00B46981">
            <w:pPr>
              <w:rPr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+38(0342)596140 </w:t>
            </w:r>
          </w:p>
          <w:p w:rsidR="00B72EE3" w:rsidRPr="000D36E2" w:rsidRDefault="00856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14">
              <w:r w:rsidR="00B46981" w:rsidRPr="000D36E2">
                <w:rPr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  <w:p w:rsidR="00B72EE3" w:rsidRPr="000D36E2" w:rsidRDefault="00B72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72EE3" w:rsidRPr="000D36E2">
        <w:tc>
          <w:tcPr>
            <w:tcW w:w="2466" w:type="dxa"/>
          </w:tcPr>
          <w:p w:rsidR="00B72EE3" w:rsidRPr="000D36E2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Викладач</w:t>
            </w:r>
          </w:p>
          <w:p w:rsidR="00B72EE3" w:rsidRPr="000D36E2" w:rsidRDefault="00B72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</w:tcPr>
          <w:p w:rsidR="00B72EE3" w:rsidRPr="000D36E2" w:rsidRDefault="00B46981">
            <w:pPr>
              <w:rPr>
                <w:sz w:val="28"/>
                <w:szCs w:val="28"/>
              </w:rPr>
            </w:pPr>
            <w:proofErr w:type="spellStart"/>
            <w:r w:rsidRPr="000D36E2">
              <w:rPr>
                <w:sz w:val="28"/>
                <w:szCs w:val="28"/>
              </w:rPr>
              <w:t>Руднянин</w:t>
            </w:r>
            <w:proofErr w:type="spellEnd"/>
            <w:r w:rsidRPr="000D36E2">
              <w:rPr>
                <w:sz w:val="28"/>
                <w:szCs w:val="28"/>
              </w:rPr>
              <w:t xml:space="preserve"> Оксана Ігорівна</w:t>
            </w:r>
          </w:p>
          <w:p w:rsidR="00B72EE3" w:rsidRPr="000D36E2" w:rsidRDefault="00B46981">
            <w:pPr>
              <w:rPr>
                <w:sz w:val="28"/>
                <w:szCs w:val="28"/>
              </w:rPr>
            </w:pPr>
            <w:r w:rsidRPr="000D36E2">
              <w:rPr>
                <w:sz w:val="28"/>
                <w:szCs w:val="28"/>
              </w:rPr>
              <w:t xml:space="preserve">кандидат філологічних наук, асистент </w:t>
            </w:r>
          </w:p>
          <w:p w:rsidR="00B72EE3" w:rsidRPr="000D36E2" w:rsidRDefault="00B72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72EE3" w:rsidRPr="000D36E2">
        <w:tc>
          <w:tcPr>
            <w:tcW w:w="2466" w:type="dxa"/>
          </w:tcPr>
          <w:p w:rsidR="00B72EE3" w:rsidRPr="000D36E2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lastRenderedPageBreak/>
              <w:t>Контактна інформація викладача</w:t>
            </w:r>
          </w:p>
        </w:tc>
        <w:tc>
          <w:tcPr>
            <w:tcW w:w="6879" w:type="dxa"/>
          </w:tcPr>
          <w:p w:rsidR="00B72EE3" w:rsidRPr="000D36E2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D36E2">
              <w:rPr>
                <w:color w:val="000000"/>
                <w:sz w:val="28"/>
                <w:szCs w:val="28"/>
              </w:rPr>
              <w:t>+380504331776</w:t>
            </w:r>
          </w:p>
          <w:p w:rsidR="00B72EE3" w:rsidRPr="000D36E2" w:rsidRDefault="00856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15">
              <w:r w:rsidR="00B46981" w:rsidRPr="000D36E2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oksana.rudnianyn@pnu.edu.ua</w:t>
              </w:r>
            </w:hyperlink>
          </w:p>
        </w:tc>
      </w:tr>
    </w:tbl>
    <w:p w:rsidR="00294BC7" w:rsidRDefault="00294BC7" w:rsidP="005E49D3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B72EE3" w:rsidRDefault="00B72E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B72EE3" w:rsidRPr="00294BC7" w:rsidRDefault="00B46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94BC7">
        <w:rPr>
          <w:b/>
          <w:color w:val="000000"/>
          <w:sz w:val="28"/>
          <w:szCs w:val="28"/>
        </w:rPr>
        <w:t>8. Політика навчальної дисципліни</w:t>
      </w:r>
    </w:p>
    <w:tbl>
      <w:tblPr>
        <w:tblStyle w:val="a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5927"/>
      </w:tblGrid>
      <w:tr w:rsidR="00B72EE3" w:rsidRPr="00294BC7">
        <w:trPr>
          <w:trHeight w:val="7503"/>
        </w:trPr>
        <w:tc>
          <w:tcPr>
            <w:tcW w:w="3418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Академічна доброчесність</w:t>
            </w:r>
          </w:p>
        </w:tc>
        <w:tc>
          <w:tcPr>
            <w:tcW w:w="5927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:rsidR="00B72EE3" w:rsidRPr="00294BC7" w:rsidRDefault="00856103">
            <w:pPr>
              <w:numPr>
                <w:ilvl w:val="0"/>
                <w:numId w:val="1"/>
              </w:numPr>
              <w:shd w:val="clear" w:color="auto" w:fill="FFFFFF"/>
              <w:spacing w:before="280"/>
              <w:ind w:left="318" w:hanging="284"/>
              <w:jc w:val="both"/>
              <w:rPr>
                <w:sz w:val="28"/>
                <w:szCs w:val="28"/>
              </w:rPr>
            </w:pPr>
            <w:hyperlink r:id="rId16">
              <w:r w:rsidR="00B46981" w:rsidRPr="00294BC7">
                <w:rPr>
                  <w:color w:val="0000FF"/>
                  <w:sz w:val="28"/>
                  <w:szCs w:val="28"/>
                  <w:u w:val="single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:rsidR="00B72EE3" w:rsidRPr="00294BC7" w:rsidRDefault="00856103">
            <w:pPr>
              <w:numPr>
                <w:ilvl w:val="0"/>
                <w:numId w:val="1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17">
              <w:r w:rsidR="00B46981" w:rsidRPr="00294BC7">
                <w:rPr>
                  <w:color w:val="0000FF"/>
                  <w:sz w:val="28"/>
                  <w:szCs w:val="28"/>
                  <w:u w:val="single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B46981" w:rsidRPr="00294BC7">
              <w:rPr>
                <w:sz w:val="28"/>
                <w:szCs w:val="28"/>
              </w:rPr>
              <w:t>.</w:t>
            </w:r>
          </w:p>
          <w:p w:rsidR="00B72EE3" w:rsidRPr="00294BC7" w:rsidRDefault="00856103">
            <w:pPr>
              <w:numPr>
                <w:ilvl w:val="0"/>
                <w:numId w:val="1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18">
              <w:r w:rsidR="00B46981" w:rsidRPr="00294BC7">
                <w:rPr>
                  <w:color w:val="0000FF"/>
                  <w:sz w:val="28"/>
                  <w:szCs w:val="28"/>
                  <w:u w:val="single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B46981" w:rsidRPr="00294BC7">
              <w:rPr>
                <w:sz w:val="28"/>
                <w:szCs w:val="28"/>
              </w:rPr>
              <w:t>.</w:t>
            </w:r>
          </w:p>
          <w:p w:rsidR="00B72EE3" w:rsidRPr="00294BC7" w:rsidRDefault="00856103">
            <w:pPr>
              <w:numPr>
                <w:ilvl w:val="0"/>
                <w:numId w:val="1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19">
              <w:r w:rsidR="00B46981" w:rsidRPr="00294BC7">
                <w:rPr>
                  <w:color w:val="0000FF"/>
                  <w:sz w:val="28"/>
                  <w:szCs w:val="28"/>
                  <w:u w:val="single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B46981" w:rsidRPr="00294BC7">
              <w:rPr>
                <w:sz w:val="28"/>
                <w:szCs w:val="28"/>
              </w:rPr>
              <w:t>.</w:t>
            </w:r>
          </w:p>
          <w:p w:rsidR="00B72EE3" w:rsidRPr="00294BC7" w:rsidRDefault="00856103">
            <w:pPr>
              <w:numPr>
                <w:ilvl w:val="0"/>
                <w:numId w:val="1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20">
              <w:r w:rsidR="00B46981" w:rsidRPr="00294BC7">
                <w:rPr>
                  <w:color w:val="0000FF"/>
                  <w:sz w:val="28"/>
                  <w:szCs w:val="28"/>
                  <w:u w:val="single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B46981" w:rsidRPr="00294BC7">
              <w:rPr>
                <w:sz w:val="28"/>
                <w:szCs w:val="28"/>
              </w:rPr>
              <w:t>.</w:t>
            </w:r>
          </w:p>
          <w:p w:rsidR="00B72EE3" w:rsidRPr="00294BC7" w:rsidRDefault="00856103">
            <w:pPr>
              <w:numPr>
                <w:ilvl w:val="0"/>
                <w:numId w:val="1"/>
              </w:numPr>
              <w:shd w:val="clear" w:color="auto" w:fill="FFFFFF"/>
              <w:spacing w:after="280"/>
              <w:ind w:left="318" w:hanging="284"/>
              <w:jc w:val="both"/>
              <w:rPr>
                <w:sz w:val="28"/>
                <w:szCs w:val="28"/>
              </w:rPr>
            </w:pPr>
            <w:hyperlink r:id="rId21">
              <w:r w:rsidR="00B46981" w:rsidRPr="00294BC7">
                <w:rPr>
                  <w:color w:val="0000FF"/>
                  <w:sz w:val="28"/>
                  <w:szCs w:val="28"/>
                  <w:u w:val="single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B46981" w:rsidRPr="00294BC7">
              <w:rPr>
                <w:sz w:val="28"/>
                <w:szCs w:val="28"/>
              </w:rPr>
              <w:t>.</w:t>
            </w:r>
          </w:p>
          <w:p w:rsidR="00B72EE3" w:rsidRPr="00294BC7" w:rsidRDefault="00B46981">
            <w:pPr>
              <w:shd w:val="clear" w:color="auto" w:fill="FFFFFF"/>
              <w:spacing w:before="280"/>
              <w:ind w:left="34" w:firstLine="284"/>
              <w:jc w:val="both"/>
              <w:rPr>
                <w:sz w:val="28"/>
                <w:szCs w:val="28"/>
              </w:rPr>
            </w:pPr>
            <w:r w:rsidRPr="00294BC7">
              <w:rPr>
                <w:sz w:val="28"/>
                <w:szCs w:val="28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B72EE3" w:rsidRPr="00294BC7">
        <w:tc>
          <w:tcPr>
            <w:tcW w:w="3418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Пропуски занять (відпрацювання)</w:t>
            </w:r>
          </w:p>
        </w:tc>
        <w:tc>
          <w:tcPr>
            <w:tcW w:w="5927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Можливість і порядок відпрацювання пропущених студентом занять регламентується «</w:t>
            </w:r>
            <w:hyperlink r:id="rId22">
              <w:r w:rsidRPr="00294BC7">
                <w:rPr>
                  <w:color w:val="0000FF"/>
                  <w:sz w:val="28"/>
                  <w:szCs w:val="28"/>
                  <w:highlight w:val="white"/>
                  <w:u w:val="single"/>
                </w:rPr>
                <w:t xml:space="preserve">Положення про порядок організації та </w:t>
              </w:r>
              <w:r w:rsidRPr="00294BC7">
                <w:rPr>
                  <w:color w:val="0000FF"/>
                  <w:sz w:val="28"/>
                  <w:szCs w:val="28"/>
                  <w:highlight w:val="white"/>
                  <w:u w:val="single"/>
                </w:rPr>
                <w:lastRenderedPageBreak/>
                <w:t>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294BC7">
              <w:rPr>
                <w:color w:val="000000"/>
                <w:sz w:val="28"/>
                <w:szCs w:val="28"/>
              </w:rPr>
              <w:t xml:space="preserve"> (див. </w:t>
            </w:r>
            <w:proofErr w:type="spellStart"/>
            <w:r w:rsidRPr="00294BC7">
              <w:rPr>
                <w:color w:val="000000"/>
                <w:sz w:val="28"/>
                <w:szCs w:val="28"/>
              </w:rPr>
              <w:t>стор</w:t>
            </w:r>
            <w:proofErr w:type="spellEnd"/>
            <w:r w:rsidRPr="00294BC7">
              <w:rPr>
                <w:color w:val="000000"/>
                <w:sz w:val="28"/>
                <w:szCs w:val="28"/>
              </w:rPr>
              <w:t xml:space="preserve">. 4.). </w:t>
            </w:r>
          </w:p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 w:rsidR="00B72EE3" w:rsidRPr="00294BC7">
        <w:tc>
          <w:tcPr>
            <w:tcW w:w="3418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3">
              <w:r w:rsidRPr="00294BC7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294BC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294BC7">
              <w:rPr>
                <w:color w:val="000000"/>
                <w:sz w:val="28"/>
                <w:szCs w:val="28"/>
              </w:rPr>
              <w:t>стор</w:t>
            </w:r>
            <w:proofErr w:type="spellEnd"/>
            <w:r w:rsidRPr="00294BC7">
              <w:rPr>
                <w:color w:val="000000"/>
                <w:sz w:val="28"/>
                <w:szCs w:val="28"/>
              </w:rPr>
              <w:t xml:space="preserve">. 4-5. </w:t>
            </w:r>
          </w:p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Ознайомитися із положенням можна за посиланням: https://nmv.pnu.edu.ua/нормативні-документи/polozhenja</w:t>
            </w:r>
          </w:p>
        </w:tc>
      </w:tr>
      <w:tr w:rsidR="00B72EE3" w:rsidRPr="00294BC7">
        <w:tc>
          <w:tcPr>
            <w:tcW w:w="3418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Невідповідна поведінка під час заняття</w:t>
            </w:r>
          </w:p>
        </w:tc>
        <w:tc>
          <w:tcPr>
            <w:tcW w:w="5927" w:type="dxa"/>
          </w:tcPr>
          <w:p w:rsidR="00B72EE3" w:rsidRPr="00294BC7" w:rsidRDefault="00B4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4">
              <w:r w:rsidRPr="00294BC7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294BC7">
              <w:rPr>
                <w:color w:val="000000"/>
                <w:sz w:val="28"/>
                <w:szCs w:val="28"/>
              </w:rPr>
              <w:t>» - ознайомитися із положенням можна за посиланням: https://nmv.pnu.edu.ua/нормативні-документи/polozhenja</w:t>
            </w:r>
          </w:p>
        </w:tc>
      </w:tr>
      <w:tr w:rsidR="00B72EE3" w:rsidRPr="00294BC7">
        <w:trPr>
          <w:trHeight w:val="884"/>
        </w:trPr>
        <w:tc>
          <w:tcPr>
            <w:tcW w:w="3418" w:type="dxa"/>
            <w:vAlign w:val="center"/>
          </w:tcPr>
          <w:p w:rsidR="00B72EE3" w:rsidRPr="00294BC7" w:rsidRDefault="00B46981">
            <w:pPr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Додаткові бали</w:t>
            </w:r>
          </w:p>
        </w:tc>
        <w:tc>
          <w:tcPr>
            <w:tcW w:w="5927" w:type="dxa"/>
            <w:vAlign w:val="center"/>
          </w:tcPr>
          <w:p w:rsidR="00B72EE3" w:rsidRPr="00294BC7" w:rsidRDefault="00B46981">
            <w:pPr>
              <w:jc w:val="both"/>
              <w:rPr>
                <w:color w:val="000000"/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B72EE3" w:rsidRPr="00294BC7" w:rsidTr="00B519BB">
        <w:trPr>
          <w:trHeight w:val="939"/>
        </w:trPr>
        <w:tc>
          <w:tcPr>
            <w:tcW w:w="3418" w:type="dxa"/>
            <w:vAlign w:val="center"/>
          </w:tcPr>
          <w:p w:rsidR="00B72EE3" w:rsidRPr="00294BC7" w:rsidRDefault="00B46981">
            <w:pPr>
              <w:rPr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:rsidR="00B72EE3" w:rsidRPr="00294BC7" w:rsidRDefault="00B46981" w:rsidP="00B519BB">
            <w:pPr>
              <w:jc w:val="both"/>
              <w:rPr>
                <w:sz w:val="28"/>
                <w:szCs w:val="28"/>
              </w:rPr>
            </w:pPr>
            <w:r w:rsidRPr="00294BC7">
              <w:rPr>
                <w:color w:val="000000"/>
                <w:sz w:val="28"/>
                <w:szCs w:val="28"/>
              </w:rPr>
              <w:t>Можливість зарахування: наявність міжнародного сертифікату з іноземної мови:</w:t>
            </w:r>
            <w:r w:rsidRPr="00294BC7">
              <w:rPr>
                <w:sz w:val="28"/>
                <w:szCs w:val="28"/>
              </w:rPr>
              <w:t xml:space="preserve"> </w:t>
            </w:r>
            <w:r w:rsidRPr="00294BC7">
              <w:rPr>
                <w:color w:val="000000"/>
                <w:sz w:val="28"/>
                <w:szCs w:val="28"/>
              </w:rPr>
              <w:t>TOEFL, IELTS, FCE.</w:t>
            </w:r>
          </w:p>
        </w:tc>
      </w:tr>
    </w:tbl>
    <w:p w:rsidR="00B72EE3" w:rsidRPr="00294BC7" w:rsidRDefault="00B46981">
      <w:pPr>
        <w:jc w:val="both"/>
        <w:rPr>
          <w:sz w:val="28"/>
          <w:szCs w:val="28"/>
        </w:rPr>
      </w:pPr>
      <w:r w:rsidRPr="00294BC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1901190</wp:posOffset>
            </wp:positionH>
            <wp:positionV relativeFrom="paragraph">
              <wp:posOffset>12700</wp:posOffset>
            </wp:positionV>
            <wp:extent cx="1186815" cy="819150"/>
            <wp:effectExtent l="0" t="0" r="0" b="0"/>
            <wp:wrapSquare wrapText="bothSides" distT="0" distB="0" distL="114300" distR="114300"/>
            <wp:docPr id="3" name="image2.jpg" descr="D:\new steps to my dream\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new steps to my dream\signature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E3" w:rsidRPr="00294BC7" w:rsidRDefault="00B72EE3">
      <w:pPr>
        <w:jc w:val="both"/>
        <w:rPr>
          <w:sz w:val="28"/>
          <w:szCs w:val="28"/>
        </w:rPr>
      </w:pPr>
    </w:p>
    <w:p w:rsidR="00B72EE3" w:rsidRPr="00294BC7" w:rsidRDefault="00B46981">
      <w:pPr>
        <w:jc w:val="center"/>
        <w:rPr>
          <w:b/>
          <w:sz w:val="28"/>
          <w:szCs w:val="28"/>
        </w:rPr>
      </w:pPr>
      <w:r w:rsidRPr="00294BC7">
        <w:rPr>
          <w:b/>
          <w:sz w:val="28"/>
          <w:szCs w:val="28"/>
        </w:rPr>
        <w:t>Викладач                                                Оксана РУДНЯНИН</w:t>
      </w:r>
    </w:p>
    <w:p w:rsidR="00B72EE3" w:rsidRPr="00294BC7" w:rsidRDefault="00B72EE3">
      <w:pPr>
        <w:jc w:val="center"/>
        <w:rPr>
          <w:b/>
          <w:sz w:val="28"/>
          <w:szCs w:val="28"/>
        </w:rPr>
      </w:pPr>
    </w:p>
    <w:p w:rsidR="00B72EE3" w:rsidRPr="00294BC7" w:rsidRDefault="00B72EE3">
      <w:pPr>
        <w:rPr>
          <w:sz w:val="28"/>
          <w:szCs w:val="28"/>
        </w:rPr>
      </w:pPr>
    </w:p>
    <w:sectPr w:rsidR="00B72EE3" w:rsidRPr="00294B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26F41"/>
    <w:multiLevelType w:val="multilevel"/>
    <w:tmpl w:val="ADC02C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2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pStyle w:val="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8A96B41"/>
    <w:multiLevelType w:val="multilevel"/>
    <w:tmpl w:val="F8685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E3"/>
    <w:rsid w:val="000D36E2"/>
    <w:rsid w:val="00294BC7"/>
    <w:rsid w:val="005E49D3"/>
    <w:rsid w:val="00637505"/>
    <w:rsid w:val="006D4FCB"/>
    <w:rsid w:val="00856103"/>
    <w:rsid w:val="00B46981"/>
    <w:rsid w:val="00B519BB"/>
    <w:rsid w:val="00B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7282"/>
  <w15:docId w15:val="{F0957386-7F9F-47BA-9484-5A61366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666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E5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55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 w:val="28"/>
      <w:lang w:eastAsia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D86B67"/>
    <w:rPr>
      <w:rFonts w:ascii="Arial" w:eastAsia="Arial" w:hAnsi="Arial" w:cs="Arial"/>
    </w:rPr>
  </w:style>
  <w:style w:type="paragraph" w:styleId="a4">
    <w:name w:val="List Paragraph"/>
    <w:basedOn w:val="a"/>
    <w:uiPriority w:val="34"/>
    <w:qFormat/>
    <w:rsid w:val="00B13EDC"/>
    <w:pPr>
      <w:ind w:left="720"/>
      <w:contextualSpacing/>
    </w:pPr>
  </w:style>
  <w:style w:type="table" w:styleId="a5">
    <w:name w:val="Table Grid"/>
    <w:basedOn w:val="a1"/>
    <w:uiPriority w:val="59"/>
    <w:rsid w:val="00B1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B13EDC"/>
    <w:rPr>
      <w:i/>
      <w:iCs/>
      <w:color w:val="808080" w:themeColor="text1" w:themeTint="7F"/>
    </w:rPr>
  </w:style>
  <w:style w:type="character" w:styleId="a7">
    <w:name w:val="Hyperlink"/>
    <w:basedOn w:val="a0"/>
    <w:uiPriority w:val="99"/>
    <w:unhideWhenUsed/>
    <w:rsid w:val="00B13EDC"/>
    <w:rPr>
      <w:color w:val="0000FF"/>
      <w:u w:val="single"/>
    </w:rPr>
  </w:style>
  <w:style w:type="paragraph" w:styleId="a8">
    <w:name w:val="Body Text Indent"/>
    <w:basedOn w:val="a"/>
    <w:link w:val="a9"/>
    <w:rsid w:val="00B13EDC"/>
    <w:pPr>
      <w:suppressAutoHyphens/>
      <w:spacing w:after="120"/>
      <w:ind w:left="283"/>
    </w:pPr>
    <w:rPr>
      <w:sz w:val="28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B13ED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B13EDC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B13EDC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B13EDC"/>
    <w:pPr>
      <w:widowControl w:val="0"/>
      <w:suppressAutoHyphens/>
      <w:autoSpaceDE w:val="0"/>
    </w:pPr>
    <w:rPr>
      <w:lang w:eastAsia="zh-CN"/>
    </w:rPr>
  </w:style>
  <w:style w:type="paragraph" w:customStyle="1" w:styleId="11">
    <w:name w:val="Звичайний1"/>
    <w:rsid w:val="00B13EDC"/>
    <w:rPr>
      <w:rFonts w:ascii="Arial" w:eastAsia="Arial" w:hAnsi="Arial" w:cs="Arial"/>
    </w:rPr>
  </w:style>
  <w:style w:type="character" w:customStyle="1" w:styleId="FontStyle96">
    <w:name w:val="Font Style96"/>
    <w:basedOn w:val="a0"/>
    <w:rsid w:val="00B13EDC"/>
    <w:rPr>
      <w:rFonts w:ascii="Sylfaen" w:hAnsi="Sylfaen" w:cs="Sylfaen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922E5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22E5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BodyText22">
    <w:name w:val="Body Text 22"/>
    <w:basedOn w:val="a"/>
    <w:rsid w:val="004317C5"/>
    <w:pPr>
      <w:widowControl w:val="0"/>
      <w:snapToGrid w:val="0"/>
      <w:jc w:val="both"/>
    </w:pPr>
    <w:rPr>
      <w:sz w:val="28"/>
      <w:szCs w:val="20"/>
    </w:rPr>
  </w:style>
  <w:style w:type="character" w:styleId="aa">
    <w:name w:val="Emphasis"/>
    <w:basedOn w:val="a0"/>
    <w:uiPriority w:val="20"/>
    <w:qFormat/>
    <w:rsid w:val="00801183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64C4"/>
    <w:rPr>
      <w:color w:val="800080" w:themeColor="followed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0B774B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0B7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71C93"/>
  </w:style>
  <w:style w:type="paragraph" w:styleId="ae">
    <w:name w:val="No Spacing"/>
    <w:uiPriority w:val="1"/>
    <w:qFormat/>
    <w:rsid w:val="00CE7D90"/>
    <w:rPr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pnu.edu.ua/wp-content/uploads/2020/01/%D0%9F%D0%BE%D0%BB%D0%BE%D0%B6%D0%B5%D0%BD%D0%BD%D1%8F-%D0%9F%D0%9D%D0%A3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nu.edu.ua/wp-content/uploads/2020/05/1_9-263.pdf" TargetMode="External"/><Relationship Id="rId7" Type="http://schemas.openxmlformats.org/officeDocument/2006/relationships/hyperlink" Target="https://d-learn.pro/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pnu.edu.ua/wp-content/uploads/2020/01/pol.doc" TargetMode="External"/><Relationship Id="rId25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s://pnu.edu.ua/wp-content/uploads/2019/11/code_of_honor-2.doc" TargetMode="External"/><Relationship Id="rId20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krtravel.com/education_in_ukraine.htm" TargetMode="External"/><Relationship Id="rId24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ksana.rudnianyn@pnu.edu.ua" TargetMode="External"/><Relationship Id="rId23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mailto:kim@pnu.edu.ua" TargetMode="External"/><Relationship Id="rId22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rUAOPormAKn2kOhC7gq0Jw+Ang==">AMUW2mV8uEQugMRaxkRFOS91Y5O8DFlQPl13pYy7o0XoLQltPBkROFNy2ZKUK6lHEgKKXwP8QX3FQ7eQKwvmMznQA/En2RG8bl8BAA1mycB95e9bJXaeRYpOxbQkAM0gcXaok3WQrL79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10200</Words>
  <Characters>5815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Oksana Rudnianyn</cp:lastModifiedBy>
  <cp:revision>7</cp:revision>
  <dcterms:created xsi:type="dcterms:W3CDTF">2023-01-27T19:16:00Z</dcterms:created>
  <dcterms:modified xsi:type="dcterms:W3CDTF">2023-01-27T22:35:00Z</dcterms:modified>
</cp:coreProperties>
</file>