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DA" w:rsidRDefault="00997DDA" w:rsidP="00997DDA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4950" cy="1695450"/>
            <wp:effectExtent l="19050" t="0" r="0" b="0"/>
            <wp:docPr id="1" name="Рисунок 1" descr="C:\[КАФЕДРА ЕТНОЛОГІЇ\Мої дані\зображення_viber_2020-01-28_18-08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[КАФЕДРА ЕТНОЛОГІЇ\Мої дані\зображення_viber_2020-01-28_18-08-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454" b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DDA" w:rsidRDefault="00997DDA" w:rsidP="00997DDA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 Боян-Гладка</w:t>
      </w:r>
    </w:p>
    <w:p w:rsidR="00997DDA" w:rsidRPr="00997DDA" w:rsidRDefault="00997DDA" w:rsidP="00997DDA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DDA" w:rsidRPr="00997DDA" w:rsidRDefault="00997DDA" w:rsidP="00997D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Наукова робота 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участь у науково-дослідній тематиці кафедри «Історико-культурні та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етносоціальні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процеси на Прикарпатті» № державної реєстрації 0109U000838 (у межах робочого часу). Індивідуальна наукова тема «Духовна культура українців Карпатського регіону», проведення польових етнографічних досліджень у рамках щорічної студентської етнографічної практики в гірських населених пунктах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Долинського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Івано-Франківської області та 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Міжгірського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Закарпатської області;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участь у міжнародній конференції «</w:t>
      </w:r>
      <w:r w:rsidRPr="00997DDA">
        <w:rPr>
          <w:rFonts w:ascii="Times New Roman" w:hAnsi="Times New Roman"/>
          <w:sz w:val="24"/>
          <w:szCs w:val="24"/>
        </w:rPr>
        <w:t>Українці Румунії: Історія, сучасність та перспективи», Бухарест, 8-11 листопада 2019;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hAnsi="Times New Roman"/>
          <w:sz w:val="24"/>
          <w:szCs w:val="24"/>
        </w:rPr>
        <w:t xml:space="preserve">участь у всеукраїнській конференції </w:t>
      </w:r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Україна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Буковина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 разом: 100-річчя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Буковинського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народного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віча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»,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Чернівці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23-24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січня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2019;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участь у щорічній звітній науковій конференції викладачів, докторантів, аспірантів кафедри етнології і археології ДВНЗ «Прикарпатський національний університет імені Василя Стефаника» за 2018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р.м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Івано-Франківськ, 18-22 березня 2019 року;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 редактор фахового журналу «Карпати: людина, етнос, цивілізація»;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студентського наукового гуртка «Берегиня»;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 за Науковий етнографічний архів факультету історії, політології і міжнародних відносин;</w:t>
      </w:r>
    </w:p>
    <w:p w:rsidR="00997DDA" w:rsidRPr="00997DDA" w:rsidRDefault="00997DDA" w:rsidP="00997DDA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обдарованими студентами: Сергій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Досінчук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Євген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Ясинишин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Василина Мелеш, Марія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Пенкальська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Вікторія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Пінте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Роксолана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Дутчак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Вікторія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Лесюк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Владислав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Гоцуляк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DDA" w:rsidRPr="00997DDA" w:rsidRDefault="00997DDA" w:rsidP="00997D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Навчально-методична робота 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підготовка і розробка навчального навантаження викладачів кафедри; 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графіку навчального процесу та розкладу студентів спеціальності 032 «Історія та археологія. Етнологія» освітньо-кваліфікаційного рівня магістр;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розробка базового навчального плану з підготовки освітнього рівня магістр спеціальності 032 «Історія та археологія. Етнологія»;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 навчально-методичного плану роботи кафедри;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оновлення та розробка методичного забезпечення (навчально-методичні вказівки, робочі та навчальні програми,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силабуси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) з навчальних курсів: «Духовна культура українців Карпат», «Матеріальна культура українців Карпат», «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Етнодемографія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населення Карпатського регіону», Науковий семінар «Методика польових етнографічних досліджень», «Етнографічна практика» (спеціальності 032 «Історія та археологія» освітнього рівня бакалавр), «Методика викладання народознавства в школі», Науковий семінар «Методика народознавчих досліджень» (спеціальність 014 «Середня освіта (Історія)» освітнього рівня бакалавр);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оновлення та розробка методичного забезпечення (навчально-методичні вказівки, робочі та навчальні програми,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силабуси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) з навчальних курсів: «Українська традиційна звичаєва обрядовість», «Методика викладання народознавства у вищій школі», «Актуальні проблеми сучасної української етнології», «Асистентська (виробнича) практика», «Науково-дослідна практика», «Методичні вказівки для написання магістерських і курсових робіт спеціальності 032 «Історія та археологія. Етнологія» освітнього рівня магістр» для студентів-магістрів спеціальності 032 «Історія та археологія. Етнологія» освітнього рівня магістр;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розробка положення та наскрізних програм практик спеціальності 032 «Історія та археологія» освітнього рівня бакалавр та магістр;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розробка методичного забезпечення зі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стекхолдерами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(роботодавцями) кафедри з приводу археологічної, музейної, етнографічної практик;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наповнення навчально-методичною літературою електронної бібліотеки Університету і кафедри; 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навчально-методичне оновлення і ведення дистанційного навчання;</w:t>
      </w:r>
    </w:p>
    <w:p w:rsidR="00997DDA" w:rsidRPr="00997DDA" w:rsidRDefault="00997DDA" w:rsidP="00997D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Виховна робота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 плану виховної роботи кафедри;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виконання обов'язків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академнаставника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в магістратурі за спеціальністю 032 «Історія та археологія. Етнологія» групи ІА(Е) -2 м;</w:t>
      </w:r>
    </w:p>
    <w:p w:rsidR="00997DDA" w:rsidRPr="00997DDA" w:rsidRDefault="00997DDA" w:rsidP="00997DDA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hAnsi="Times New Roman" w:cs="Times New Roman"/>
          <w:sz w:val="24"/>
          <w:szCs w:val="24"/>
        </w:rPr>
        <w:t>проведення пішохідних екскурсій магістрантами м. Івано-Франківську та поза межами в рамках навчального курсу «Методика викладання народознавства у вищій школі спеціальності 032 «Історія та археологія. Етнологія» групи ІА(Е) -1 м;</w:t>
      </w:r>
    </w:p>
    <w:p w:rsidR="00997DDA" w:rsidRPr="00997DDA" w:rsidRDefault="00997DDA" w:rsidP="00997D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Організаційна робота</w:t>
      </w:r>
    </w:p>
    <w:p w:rsidR="00997DDA" w:rsidRPr="00997DDA" w:rsidRDefault="00997DDA" w:rsidP="00997D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D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наповнення навчально-методичного, наукового і виховного характеру інформацією сайту кафедри;</w:t>
      </w:r>
    </w:p>
    <w:p w:rsidR="00997DDA" w:rsidRPr="00997DDA" w:rsidRDefault="00997DDA" w:rsidP="00997DDA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організація Дня відкритих дверей 25 травня 2019 р. і представлення спеціальності  </w:t>
      </w:r>
      <w:r w:rsidRPr="00997DDA">
        <w:rPr>
          <w:rFonts w:ascii="Times New Roman" w:hAnsi="Times New Roman" w:cs="Times New Roman"/>
          <w:sz w:val="24"/>
          <w:szCs w:val="24"/>
        </w:rPr>
        <w:t xml:space="preserve">032 «Історія та археологія. Етнологія» в традиційних гуцульських, бойківських, лемківських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строях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та традиційної карпатської кухні.</w:t>
      </w:r>
    </w:p>
    <w:p w:rsidR="00997DDA" w:rsidRPr="00997DDA" w:rsidRDefault="00997DDA" w:rsidP="00997DDA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DDA">
        <w:rPr>
          <w:rFonts w:ascii="Times New Roman" w:hAnsi="Times New Roman" w:cs="Times New Roman"/>
          <w:b/>
          <w:i/>
          <w:sz w:val="24"/>
          <w:szCs w:val="24"/>
        </w:rPr>
        <w:t>Основні праці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 П. Локальні особливості Зелених свят на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Бойківщині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: традиційні звичаї і обряди / С.П. Боян // Галичина. Всеукраїнський і культурно-просвітній краєзнавчий часопис. - Івано-Франківськ, 2012. Ч. 24 – С. 53 – 62.  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 Боян С.П. Церковний піст в календарній обрядовості та побуті бойків / С.П. Боян // Вісник Прикарпатського національного університету ім. В. Стефаника (Серія історія). – Івано-Франківськ, 2012. –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Вип.ХХІІ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. – С. 111 – 118 (0,5 друк. арк.).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С.П.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Метереологічні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знання в народному календарі бойків // Галичина. Всеукраїнський і культурно-просвітній краєзнавчий часопис. – Івано-Франківськ, 2013. Ч.22 – 23. – С.132 – 137.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>Боян С. П. Елементи синкретизму в календарній обрядовості бойків // Карпати: людина, етнос, цивілізація. – Карпати: людина, етнос, цивілізації. – 2014. – Вип. 5 – С. 178 – 186 (0,5 друк. арк.)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>Боян С. Різдво – одне з найважливіших родинних свят // Галичина. – 2014. – 4 січня. – С. 14.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С.П., Семенюк О. Очисний обряд при народженні дитини у традиційній обрядовості бойків // Вісник Прикарпатського національного університету ім. В. Стефаника (Серія історія). – Івано-Франківськ, 2014. – Вип. </w:t>
      </w:r>
      <w:r w:rsidRPr="00997DDA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997DDA">
        <w:rPr>
          <w:rFonts w:ascii="Times New Roman" w:hAnsi="Times New Roman" w:cs="Times New Roman"/>
          <w:sz w:val="24"/>
          <w:szCs w:val="24"/>
        </w:rPr>
        <w:t>. – С. 168 – 174 (0</w:t>
      </w:r>
      <w:proofErr w:type="gramStart"/>
      <w:r w:rsidRPr="00997DDA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997DDA">
        <w:rPr>
          <w:rFonts w:ascii="Times New Roman" w:hAnsi="Times New Roman" w:cs="Times New Roman"/>
          <w:sz w:val="24"/>
          <w:szCs w:val="24"/>
        </w:rPr>
        <w:t xml:space="preserve"> друк. арк.).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С.П.,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Баюрчак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Н.В. Мольфари Українських Карпат: типологічний аналіз. // Галичина. Всеукраїнський і культурно-просвітній краєзнавчий часопис. –  Івано-Франківськ, 2015. – Ч. 27. – С. 46 – 52 (0,5 друк. арк.).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Святвечірня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магія // Галичина. – 2015. – 6 січня. – С. 10.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>Боян С. Найвеличніше свято в році // Галичина. – 2015. – 11 квітня. – С. 14.</w:t>
      </w:r>
      <w:r w:rsidRPr="00997DDA">
        <w:rPr>
          <w:rFonts w:ascii="Times New Roman" w:hAnsi="Times New Roman" w:cs="Times New Roman"/>
          <w:sz w:val="24"/>
          <w:szCs w:val="24"/>
        </w:rPr>
        <w:tab/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 С.,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Глінка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 xml:space="preserve"> Р. Функціонування грошей у традиційному побуті галичан // Наукові записки. Івано-Франківський краєзнавчий музей. Випуск 13 – 14. – Івано-Франківськ, 2015. – С. 35 – 44.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>Боян С. Магічні символи Різд</w:t>
      </w:r>
      <w:bookmarkStart w:id="0" w:name="_GoBack"/>
      <w:bookmarkEnd w:id="0"/>
      <w:r w:rsidRPr="00997DDA">
        <w:rPr>
          <w:rFonts w:ascii="Times New Roman" w:hAnsi="Times New Roman" w:cs="Times New Roman"/>
          <w:sz w:val="24"/>
          <w:szCs w:val="24"/>
        </w:rPr>
        <w:t>ва // Галичина. – 2016. – 5 січня. – С. 10.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>Боян С. Магія Великодньої забави  // Галичина. – 2016. – 28 квітня. – С. 11.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lastRenderedPageBreak/>
        <w:t xml:space="preserve">Боян-Гладка С., І. </w:t>
      </w:r>
      <w:proofErr w:type="spellStart"/>
      <w:r w:rsidRPr="00997DDA">
        <w:rPr>
          <w:rFonts w:ascii="Times New Roman" w:hAnsi="Times New Roman" w:cs="Times New Roman"/>
          <w:sz w:val="24"/>
          <w:szCs w:val="24"/>
        </w:rPr>
        <w:t>Голинська</w:t>
      </w:r>
      <w:proofErr w:type="spellEnd"/>
      <w:r w:rsidRPr="00997DDA">
        <w:rPr>
          <w:rFonts w:ascii="Times New Roman" w:hAnsi="Times New Roman" w:cs="Times New Roman"/>
          <w:sz w:val="24"/>
          <w:szCs w:val="24"/>
        </w:rPr>
        <w:t>. Семантика бойківської вишивки // Карпати: людина, етнос, цивілізації. –  №6. – Івано-Франківськ, 2016. – С. 195 – 201 (0,5 друк. арк.)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DDA">
        <w:rPr>
          <w:rFonts w:ascii="Times New Roman" w:hAnsi="Times New Roman" w:cs="Times New Roman"/>
          <w:sz w:val="24"/>
          <w:szCs w:val="24"/>
        </w:rPr>
        <w:t xml:space="preserve">Боян-Гладка С.П. Сакральна цінність хліба в традиційній культурі бойків // Культура і побут населення Прикарпаття // Тези доповідей та повідомлень  науково-практичної конференції (Івано-Франківськ, 27 квітня 2016 р.). – Івано-Франківськ, 2016. – С. 111 – 117. 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tabs>
          <w:tab w:val="left" w:pos="142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Боян С. </w:t>
      </w:r>
      <w:proofErr w:type="spellStart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Вифлеємська</w:t>
      </w:r>
      <w:proofErr w:type="spellEnd"/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зірка // Галичина. – 2017. – №1. – 5 січня. – С. 10.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hAnsi="Times New Roman"/>
          <w:sz w:val="24"/>
          <w:szCs w:val="24"/>
        </w:rPr>
        <w:t xml:space="preserve">Боян-Гладка С.П. Язичницькі свята українського народу: традиція і сьогодення // </w:t>
      </w:r>
      <w:proofErr w:type="spellStart"/>
      <w:r w:rsidRPr="00997DDA">
        <w:rPr>
          <w:rFonts w:ascii="Times New Roman" w:hAnsi="Times New Roman"/>
          <w:sz w:val="24"/>
          <w:szCs w:val="24"/>
        </w:rPr>
        <w:t>International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DDA">
        <w:rPr>
          <w:rFonts w:ascii="Times New Roman" w:hAnsi="Times New Roman"/>
          <w:sz w:val="24"/>
          <w:szCs w:val="24"/>
        </w:rPr>
        <w:t>Scientific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DDA">
        <w:rPr>
          <w:rFonts w:ascii="Times New Roman" w:hAnsi="Times New Roman"/>
          <w:sz w:val="24"/>
          <w:szCs w:val="24"/>
        </w:rPr>
        <w:t>and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DDA">
        <w:rPr>
          <w:rFonts w:ascii="Times New Roman" w:hAnsi="Times New Roman"/>
          <w:sz w:val="24"/>
          <w:szCs w:val="24"/>
        </w:rPr>
        <w:t>Practical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DDA">
        <w:rPr>
          <w:rFonts w:ascii="Times New Roman" w:hAnsi="Times New Roman"/>
          <w:sz w:val="24"/>
          <w:szCs w:val="24"/>
        </w:rPr>
        <w:t>Conference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“WORLD SCIENCE”. № 10(26), Vol.4, </w:t>
      </w:r>
      <w:proofErr w:type="spellStart"/>
      <w:r w:rsidRPr="00997DDA">
        <w:rPr>
          <w:rFonts w:ascii="Times New Roman" w:hAnsi="Times New Roman"/>
          <w:sz w:val="24"/>
          <w:szCs w:val="24"/>
        </w:rPr>
        <w:t>October</w:t>
      </w:r>
      <w:proofErr w:type="spellEnd"/>
      <w:r w:rsidRPr="00997DDA">
        <w:rPr>
          <w:rFonts w:ascii="Times New Roman" w:hAnsi="Times New Roman"/>
          <w:sz w:val="24"/>
          <w:szCs w:val="24"/>
        </w:rPr>
        <w:t xml:space="preserve"> 2017. – Р. 68 – 71.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Боян-Гладка С. П. Предмети інтер’єру української традиційної хати в духовному світі українців Карпатського регіону  // Галичина. Всеукраїнський і культурно-просвітній краєзнавчий часопис. –  Івано-Франківськ, 2017. – Ч. 28. – С. 288 – 298.</w:t>
      </w:r>
    </w:p>
    <w:p w:rsidR="00997DDA" w:rsidRPr="00997DDA" w:rsidRDefault="00997DDA" w:rsidP="00997DDA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Боян-Гладка С.П.</w:t>
      </w:r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Гошівська</w:t>
      </w:r>
      <w:proofErr w:type="spellEnd"/>
      <w:r w:rsidRPr="00997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чудотворна ікона Божої Матері в народній пам’яті бойків </w:t>
      </w:r>
      <w:r w:rsidRPr="00997DDA">
        <w:rPr>
          <w:rFonts w:ascii="Times New Roman" w:eastAsia="Times New Roman" w:hAnsi="Times New Roman" w:cs="Times New Roman"/>
          <w:sz w:val="24"/>
          <w:szCs w:val="24"/>
          <w:lang w:eastAsia="ru-RU"/>
        </w:rPr>
        <w:t>// Карпати: людина, етнос, цивілізації. –  №7. - Івано-Франківськ, 2018, (0,5 друк. арк.)</w:t>
      </w:r>
    </w:p>
    <w:p w:rsidR="00997DDA" w:rsidRDefault="00997DDA" w:rsidP="00997DDA">
      <w:pPr>
        <w:tabs>
          <w:tab w:val="left" w:pos="142"/>
        </w:tabs>
      </w:pPr>
    </w:p>
    <w:p w:rsidR="00CC5482" w:rsidRPr="00997DDA" w:rsidRDefault="00CC5482" w:rsidP="00997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5482" w:rsidRPr="00997DDA" w:rsidSect="00105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668"/>
    <w:multiLevelType w:val="hybridMultilevel"/>
    <w:tmpl w:val="A4528646"/>
    <w:lvl w:ilvl="0" w:tplc="8B54A3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B467D"/>
    <w:multiLevelType w:val="hybridMultilevel"/>
    <w:tmpl w:val="7CFE7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5102F"/>
    <w:multiLevelType w:val="hybridMultilevel"/>
    <w:tmpl w:val="5DC6FD36"/>
    <w:lvl w:ilvl="0" w:tplc="8B54A3EC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367AA3"/>
    <w:multiLevelType w:val="hybridMultilevel"/>
    <w:tmpl w:val="3B86E71E"/>
    <w:lvl w:ilvl="0" w:tplc="8B54A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7DDA"/>
    <w:rsid w:val="001E7134"/>
    <w:rsid w:val="00997DDA"/>
    <w:rsid w:val="00CC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6325</Characters>
  <Application>Microsoft Office Word</Application>
  <DocSecurity>0</DocSecurity>
  <Lines>263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2020-02-14T19:36:00Z</dcterms:created>
  <dcterms:modified xsi:type="dcterms:W3CDTF">2020-02-14T19:47:00Z</dcterms:modified>
</cp:coreProperties>
</file>