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color w:val="000000" w:themeColor="text1"/>
          <w:sz w:val="28"/>
          <w:szCs w:val="28"/>
          <w:lang w:val="uk-UA"/>
        </w:rPr>
        <w:t>Факультет філології</w:t>
      </w:r>
    </w:p>
    <w:p w:rsidR="00883873" w:rsidRPr="00AD571F" w:rsidRDefault="00883873" w:rsidP="00883873">
      <w:pPr>
        <w:jc w:val="center"/>
        <w:rPr>
          <w:sz w:val="28"/>
          <w:szCs w:val="28"/>
          <w:lang w:val="uk-UA"/>
        </w:rPr>
      </w:pPr>
      <w:r w:rsidRPr="00AD571F">
        <w:rPr>
          <w:sz w:val="28"/>
          <w:szCs w:val="28"/>
          <w:lang w:val="uk-UA"/>
        </w:rPr>
        <w:t>Кафедра журналістики</w:t>
      </w:r>
    </w:p>
    <w:p w:rsidR="00883873" w:rsidRPr="00AD571F" w:rsidRDefault="00883873" w:rsidP="00883873">
      <w:pPr>
        <w:jc w:val="center"/>
        <w:rPr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b/>
          <w:sz w:val="28"/>
          <w:szCs w:val="28"/>
          <w:lang w:val="uk-UA"/>
        </w:rPr>
      </w:pPr>
      <w:r w:rsidRPr="00AD571F">
        <w:rPr>
          <w:b/>
          <w:sz w:val="28"/>
          <w:szCs w:val="28"/>
          <w:lang w:val="uk-UA"/>
        </w:rPr>
        <w:t>СИЛАБУС НАВЧАЛЬНОЇ ДИСЦИПЛІНИ</w:t>
      </w:r>
    </w:p>
    <w:p w:rsidR="00883873" w:rsidRPr="00AD571F" w:rsidRDefault="00883873" w:rsidP="00883873">
      <w:pPr>
        <w:jc w:val="center"/>
        <w:rPr>
          <w:b/>
          <w:sz w:val="28"/>
          <w:szCs w:val="28"/>
          <w:lang w:val="uk-UA"/>
        </w:rPr>
      </w:pPr>
    </w:p>
    <w:p w:rsidR="00AD571F" w:rsidRPr="00AD571F" w:rsidRDefault="00AD571F" w:rsidP="00883873">
      <w:pPr>
        <w:jc w:val="center"/>
        <w:rPr>
          <w:b/>
          <w:sz w:val="28"/>
          <w:szCs w:val="28"/>
          <w:u w:val="single"/>
          <w:lang w:val="uk-UA"/>
        </w:rPr>
      </w:pPr>
    </w:p>
    <w:p w:rsidR="00883873" w:rsidRPr="00AA6E35" w:rsidRDefault="00AD571F" w:rsidP="00883873">
      <w:pPr>
        <w:jc w:val="center"/>
        <w:rPr>
          <w:b/>
          <w:sz w:val="28"/>
          <w:szCs w:val="28"/>
          <w:lang w:val="uk-UA"/>
        </w:rPr>
      </w:pPr>
      <w:r w:rsidRPr="00AA6E35">
        <w:rPr>
          <w:b/>
          <w:sz w:val="28"/>
          <w:szCs w:val="28"/>
          <w:lang w:val="uk-UA"/>
        </w:rPr>
        <w:t>Прикладні соціально-комунікативні  технології</w:t>
      </w:r>
    </w:p>
    <w:p w:rsidR="00883873" w:rsidRPr="00883873" w:rsidRDefault="00883873" w:rsidP="00883873">
      <w:pPr>
        <w:jc w:val="center"/>
        <w:rPr>
          <w:b/>
          <w:color w:val="70AD47" w:themeColor="accent6"/>
          <w:sz w:val="28"/>
          <w:szCs w:val="28"/>
          <w:u w:val="single"/>
          <w:lang w:val="uk-UA"/>
        </w:rPr>
      </w:pPr>
    </w:p>
    <w:p w:rsidR="00883873" w:rsidRPr="00AD571F" w:rsidRDefault="00883873" w:rsidP="00883873">
      <w:pPr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                           Освітня програма «Журналістика і </w:t>
      </w:r>
      <w:proofErr w:type="spellStart"/>
      <w:r w:rsidRPr="00AD571F">
        <w:rPr>
          <w:color w:val="000000" w:themeColor="text1"/>
          <w:sz w:val="28"/>
          <w:szCs w:val="28"/>
          <w:lang w:val="uk-UA"/>
        </w:rPr>
        <w:t>медіакомунікації</w:t>
      </w:r>
      <w:proofErr w:type="spellEnd"/>
      <w:r w:rsidRPr="00AD571F">
        <w:rPr>
          <w:color w:val="000000" w:themeColor="text1"/>
          <w:sz w:val="28"/>
          <w:szCs w:val="28"/>
          <w:lang w:val="uk-UA"/>
        </w:rPr>
        <w:t>»</w:t>
      </w: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                           Спеціальність «Журналістика»</w:t>
      </w: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                           Галузь знань 061 «Журналістика»</w:t>
      </w: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right"/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883873" w:rsidRPr="00AD571F" w:rsidRDefault="00883873" w:rsidP="00883873">
      <w:pPr>
        <w:jc w:val="right"/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Протокол № 1 від </w:t>
      </w:r>
      <w:r w:rsidRPr="00AD571F">
        <w:rPr>
          <w:color w:val="000000" w:themeColor="text1"/>
          <w:sz w:val="28"/>
          <w:szCs w:val="28"/>
        </w:rPr>
        <w:t>“</w:t>
      </w:r>
      <w:r w:rsidRPr="00AD571F">
        <w:rPr>
          <w:color w:val="000000" w:themeColor="text1"/>
          <w:sz w:val="28"/>
          <w:szCs w:val="28"/>
          <w:lang w:val="uk-UA"/>
        </w:rPr>
        <w:t>26</w:t>
      </w:r>
      <w:r w:rsidRPr="00AD571F">
        <w:rPr>
          <w:color w:val="000000" w:themeColor="text1"/>
          <w:sz w:val="28"/>
          <w:szCs w:val="28"/>
        </w:rPr>
        <w:t>”</w:t>
      </w:r>
      <w:r w:rsidRPr="00AD571F">
        <w:rPr>
          <w:color w:val="000000" w:themeColor="text1"/>
          <w:sz w:val="28"/>
          <w:szCs w:val="28"/>
          <w:lang w:val="uk-UA"/>
        </w:rPr>
        <w:t xml:space="preserve"> серпня 2019 р.  </w:t>
      </w:r>
    </w:p>
    <w:p w:rsidR="00883873" w:rsidRPr="00AD571F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883873" w:rsidRDefault="00883873" w:rsidP="00883873">
      <w:pPr>
        <w:jc w:val="both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both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both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>м. Івано-Франківськ - 2019</w:t>
      </w:r>
    </w:p>
    <w:p w:rsidR="00883873" w:rsidRPr="002B3F77" w:rsidRDefault="00883873" w:rsidP="00883873">
      <w:pPr>
        <w:jc w:val="center"/>
        <w:rPr>
          <w:b/>
          <w:color w:val="FF00FF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>ЗМІСТ</w:t>
      </w:r>
    </w:p>
    <w:p w:rsidR="00883873" w:rsidRPr="00AA6E35" w:rsidRDefault="00883873" w:rsidP="00883873">
      <w:pPr>
        <w:spacing w:line="360" w:lineRule="auto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spacing w:line="360" w:lineRule="auto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 інформація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Анотація до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 та цілі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 навчання (компетентності)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Організація навчання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оцінювання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Політика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Рекомендована література</w:t>
      </w:r>
    </w:p>
    <w:p w:rsidR="00883873" w:rsidRPr="00AA6E35" w:rsidRDefault="00883873" w:rsidP="0088387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8B32FA" w:rsidRDefault="00883873" w:rsidP="00883873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2"/>
        <w:gridCol w:w="653"/>
        <w:gridCol w:w="794"/>
        <w:gridCol w:w="179"/>
        <w:gridCol w:w="1222"/>
        <w:gridCol w:w="763"/>
        <w:gridCol w:w="546"/>
        <w:gridCol w:w="630"/>
        <w:gridCol w:w="451"/>
        <w:gridCol w:w="1571"/>
      </w:tblGrid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1. Загальна інформація</w:t>
            </w: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Назва дисципліни</w:t>
            </w:r>
          </w:p>
        </w:tc>
        <w:tc>
          <w:tcPr>
            <w:tcW w:w="6202" w:type="dxa"/>
            <w:gridSpan w:val="6"/>
          </w:tcPr>
          <w:p w:rsidR="00883873" w:rsidRPr="00AA6E35" w:rsidRDefault="00AA6E35" w:rsidP="00AA6E35">
            <w:pPr>
              <w:jc w:val="both"/>
              <w:rPr>
                <w:color w:val="000000" w:themeColor="text1"/>
              </w:rPr>
            </w:pPr>
            <w:r w:rsidRPr="00AA6E35">
              <w:t>Прикладні соціально-комунікативні  технології</w:t>
            </w: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  <w:szCs w:val="28"/>
              </w:rPr>
            </w:pPr>
            <w:r w:rsidRPr="00AA6E35">
              <w:rPr>
                <w:color w:val="000000" w:themeColor="text1"/>
                <w:szCs w:val="28"/>
              </w:rPr>
              <w:t xml:space="preserve">Холод Олександр Михайлович, доктор філологічних наук, професор кафедри журналістики </w:t>
            </w: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066-101-75-84</w:t>
            </w: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E-</w:t>
            </w:r>
            <w:proofErr w:type="spellStart"/>
            <w:r w:rsidRPr="00AA6E35">
              <w:rPr>
                <w:b/>
                <w:color w:val="000000" w:themeColor="text1"/>
              </w:rPr>
              <w:t>mail</w:t>
            </w:r>
            <w:proofErr w:type="spellEnd"/>
            <w:r w:rsidRPr="00AA6E3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AA6E35">
              <w:rPr>
                <w:b/>
                <w:color w:val="000000" w:themeColor="text1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  <w:lang w:val="en-US"/>
              </w:rPr>
            </w:pPr>
            <w:r w:rsidRPr="00AA6E35">
              <w:rPr>
                <w:color w:val="000000" w:themeColor="text1"/>
                <w:lang w:val="en-US"/>
              </w:rPr>
              <w:t>akholod@ukr.net</w:t>
            </w: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90 год.</w:t>
            </w:r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883873" w:rsidRPr="00AA6E35" w:rsidRDefault="00DF062B" w:rsidP="00501A94">
            <w:pPr>
              <w:jc w:val="both"/>
              <w:rPr>
                <w:color w:val="000000" w:themeColor="text1"/>
              </w:rPr>
            </w:pPr>
            <w:hyperlink r:id="rId6" w:history="1">
              <w:r w:rsidR="00883873" w:rsidRPr="00AA6E35">
                <w:rPr>
                  <w:rStyle w:val="a5"/>
                  <w:color w:val="000000" w:themeColor="text1"/>
                </w:rPr>
                <w:t>http://www.d-learn.pu.if.ua/</w:t>
              </w:r>
            </w:hyperlink>
          </w:p>
        </w:tc>
      </w:tr>
      <w:tr w:rsidR="00AA6E35" w:rsidRPr="00AA6E35" w:rsidTr="00501A94">
        <w:tc>
          <w:tcPr>
            <w:tcW w:w="3369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2. Анотація до курсу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AA6E35" w:rsidP="00501A94">
            <w:pPr>
              <w:ind w:firstLine="59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навчальному курсі «</w:t>
            </w:r>
            <w:r w:rsidRPr="00AA6E35">
              <w:t>Прикладні соціально-комунікативні  технології</w:t>
            </w:r>
            <w:r w:rsidR="00883873" w:rsidRPr="00AA6E35">
              <w:rPr>
                <w:color w:val="000000" w:themeColor="text1"/>
              </w:rPr>
              <w:t xml:space="preserve">» подається інформація про актуальність, об’єкт і предмет, структуру навчальної дисципліни. 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Запропоновано основні особливості наукового пізнання, специфіка пізнання соціальних явищ, історичний характер науки й наукового пізнання. Пропонується диференціація методів наукового пізнання на загальні (діалектичний метод і методи альтернатив діалектики) й загальнонаукові методи (аналіз, синтез, абстрагування, узагальнення, індукція, дедукція, аналогія, моделювання, класифікація). 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Серед методів  наукового пізнання виокремлюється інформація про методи теоретичного (формалізація, аксіоматичний метод, статистичні методи, гіпотетико-дедуктивний метод) і практичного дослідження (спостереження, опис, вимірювання й експеримент).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Подано аналіз методів журналістикознавства, бібліотекознавства, документознавства, видавничої справи та редагування, прикладних соціально-комунікаційних технологій, соціальної інформатики тощо.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 xml:space="preserve">3. Мета та цілі курсу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AA6E3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 w:themeColor="text1"/>
                <w:szCs w:val="28"/>
              </w:rPr>
            </w:pPr>
            <w:r w:rsidRPr="00AA6E35">
              <w:rPr>
                <w:color w:val="000000" w:themeColor="text1"/>
                <w:szCs w:val="28"/>
              </w:rPr>
              <w:t>Метою навчального курсу «</w:t>
            </w:r>
            <w:r w:rsidR="00AA6E35" w:rsidRPr="00AA6E35">
              <w:t>Прикладні соціально-комунікативні  технології</w:t>
            </w:r>
            <w:r w:rsidRPr="00AA6E35">
              <w:rPr>
                <w:color w:val="000000" w:themeColor="text1"/>
                <w:szCs w:val="28"/>
              </w:rPr>
              <w:t>» є формування в студентів-журналістів теоретичних знань та практичних навичок щодо доцільного застосування системи методів як теоретичного, так і емпіричного способів наукового пізнання.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4. Результати навчання (компетентності)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 xml:space="preserve">У результаті вивчення навчальної дисципліни студент повинен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знати:</w:t>
            </w:r>
            <w:r w:rsidRPr="00AA6E35">
              <w:rPr>
                <w:color w:val="000000" w:themeColor="text1"/>
              </w:rPr>
              <w:t xml:space="preserve">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предмет, завдання і зміст дисципліни;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поняттєво-категоріальний апарат методології досліджень соціальних комунікацій;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особливості системи методології </w:t>
            </w:r>
            <w:r w:rsidR="00AA6E35">
              <w:rPr>
                <w:color w:val="000000" w:themeColor="text1"/>
              </w:rPr>
              <w:t xml:space="preserve">досліджень прикладних </w:t>
            </w:r>
            <w:r w:rsidRPr="00AA6E35">
              <w:rPr>
                <w:color w:val="000000" w:themeColor="text1"/>
              </w:rPr>
              <w:t xml:space="preserve"> соціальних комунікацій;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диференціацію методів досліджень соціальних комунікацій;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місце методів досліджень соціальних комунікацій у дослідницькій діяльності;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основні напрями, тенденції та ключові аспекти розвитку науки про методи досліджень соціальних комунікацій.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вміти:</w:t>
            </w:r>
            <w:r w:rsidRPr="00AA6E35">
              <w:rPr>
                <w:color w:val="000000" w:themeColor="text1"/>
              </w:rPr>
              <w:t xml:space="preserve">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аналізувати продукти медійної діяльності з позицій методології досліджень соціальних комунікацій;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здійснювати аналіз медійних текстів за допомогою методології досліджень соціальних комунікацій;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забезпечувати дотримання закономірностей функціонування методології досліджень соціальних комунікацій;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sym w:font="Symbol" w:char="F0B7"/>
            </w:r>
            <w:r w:rsidRPr="00AA6E35">
              <w:rPr>
                <w:color w:val="000000" w:themeColor="text1"/>
              </w:rPr>
              <w:t xml:space="preserve"> визначати проблеми вивчення досліджень соціальних комунікацій;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здійснювати дослідження процесів інмутації соціальних комунікацій;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sym w:font="Symbol" w:char="F0B7"/>
            </w:r>
            <w:r w:rsidRPr="00AA6E35">
              <w:rPr>
                <w:color w:val="000000" w:themeColor="text1"/>
              </w:rPr>
              <w:t xml:space="preserve"> обирати ефективну методологію дослідження соціальних комунікацій.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lastRenderedPageBreak/>
              <w:t>5. Організація навчання курсу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Обсяг курсу</w:t>
            </w:r>
          </w:p>
        </w:tc>
      </w:tr>
      <w:tr w:rsidR="00AA6E35" w:rsidRPr="00AA6E35" w:rsidTr="00501A94">
        <w:tc>
          <w:tcPr>
            <w:tcW w:w="5637" w:type="dxa"/>
            <w:gridSpan w:val="6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Загальна кількість годин</w:t>
            </w:r>
          </w:p>
        </w:tc>
      </w:tr>
      <w:tr w:rsidR="00AA6E35" w:rsidRPr="00AA6E35" w:rsidTr="00501A94">
        <w:tc>
          <w:tcPr>
            <w:tcW w:w="5637" w:type="dxa"/>
            <w:gridSpan w:val="6"/>
          </w:tcPr>
          <w:p w:rsidR="00883873" w:rsidRPr="00AA6E35" w:rsidRDefault="00883873" w:rsidP="00501A94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12</w:t>
            </w:r>
          </w:p>
        </w:tc>
      </w:tr>
      <w:tr w:rsidR="00AA6E35" w:rsidRPr="00AA6E35" w:rsidTr="00501A94">
        <w:tc>
          <w:tcPr>
            <w:tcW w:w="5637" w:type="dxa"/>
            <w:gridSpan w:val="6"/>
          </w:tcPr>
          <w:p w:rsidR="00883873" w:rsidRPr="00AA6E35" w:rsidRDefault="00883873" w:rsidP="00501A94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18</w:t>
            </w:r>
          </w:p>
        </w:tc>
      </w:tr>
      <w:tr w:rsidR="00AA6E35" w:rsidRPr="00AA6E35" w:rsidTr="00501A94">
        <w:tc>
          <w:tcPr>
            <w:tcW w:w="5637" w:type="dxa"/>
            <w:gridSpan w:val="6"/>
          </w:tcPr>
          <w:p w:rsidR="00883873" w:rsidRPr="00AA6E35" w:rsidRDefault="00883873" w:rsidP="00501A94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60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Ознаки курсу</w:t>
            </w:r>
          </w:p>
        </w:tc>
      </w:tr>
      <w:tr w:rsidR="00DF062B" w:rsidRPr="00AA6E35" w:rsidTr="00501A94">
        <w:tc>
          <w:tcPr>
            <w:tcW w:w="2392" w:type="dxa"/>
            <w:gridSpan w:val="2"/>
            <w:vAlign w:val="center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Нормативний </w:t>
            </w: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DF062B" w:rsidRPr="00AA6E35" w:rsidTr="00501A94">
        <w:tc>
          <w:tcPr>
            <w:tcW w:w="2392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3</w:t>
            </w:r>
          </w:p>
        </w:tc>
        <w:tc>
          <w:tcPr>
            <w:tcW w:w="2393" w:type="dxa"/>
            <w:gridSpan w:val="3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«Журналістика»</w:t>
            </w:r>
          </w:p>
        </w:tc>
        <w:tc>
          <w:tcPr>
            <w:tcW w:w="2393" w:type="dxa"/>
            <w:gridSpan w:val="3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2</w:t>
            </w:r>
          </w:p>
        </w:tc>
        <w:tc>
          <w:tcPr>
            <w:tcW w:w="239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вибірковий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Тематика курсу</w:t>
            </w:r>
          </w:p>
        </w:tc>
      </w:tr>
      <w:tr w:rsidR="003D430D" w:rsidRPr="00AA6E35" w:rsidTr="00501A94">
        <w:tc>
          <w:tcPr>
            <w:tcW w:w="1595" w:type="dxa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000000" w:themeColor="text1"/>
              </w:rPr>
            </w:pPr>
            <w:r w:rsidRPr="00AA6E35">
              <w:rPr>
                <w:rStyle w:val="a4"/>
                <w:color w:val="000000" w:themeColor="text1"/>
              </w:rPr>
              <w:t>Форма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Вага оцінки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Термін виконання</w:t>
            </w: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AA6E35" w:rsidP="003D430D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iCs/>
                <w:color w:val="000000" w:themeColor="text1"/>
              </w:rPr>
              <w:t>Тема 1. Т</w:t>
            </w:r>
            <w:r w:rsidRPr="00DF062B">
              <w:rPr>
                <w:color w:val="000000" w:themeColor="text1"/>
                <w:shd w:val="clear" w:color="auto" w:fill="FAFAFA"/>
              </w:rPr>
              <w:t>еоретичні знання про систему, елементи, процеси та м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>еханізми соціальних комунікацій</w:t>
            </w:r>
            <w:r w:rsidRPr="00DF062B">
              <w:rPr>
                <w:color w:val="000000" w:themeColor="text1"/>
                <w:shd w:val="clear" w:color="auto" w:fill="FAFAFA"/>
              </w:rPr>
              <w:t>.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2, 11, 12, 15, 18, 21, 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3D430D" w:rsidRPr="00DF062B" w:rsidRDefault="00883873" w:rsidP="003D430D">
            <w:pPr>
              <w:pStyle w:val="Default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F062B">
              <w:rPr>
                <w:b/>
                <w:color w:val="000000" w:themeColor="text1"/>
              </w:rPr>
              <w:t>Тема 2.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 xml:space="preserve"> С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 xml:space="preserve">учасні тенденції розвитку інформаційного суспільства, розвитку соціальних баз, вдосконалення системи пошуку та 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>подачі інформації у суспільство</w:t>
            </w:r>
          </w:p>
          <w:p w:rsidR="00883873" w:rsidRPr="00DF062B" w:rsidRDefault="00883873" w:rsidP="00501A94">
            <w:pPr>
              <w:pStyle w:val="Default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 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2, 10, 11, 12, 15, 18, 21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883873" w:rsidP="00501A94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>Тема 3.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 xml:space="preserve"> 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>Т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>еор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>етичні та методологічні уявлення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 xml:space="preserve"> про 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>соціальну і масову комунікацію</w:t>
            </w:r>
            <w:r w:rsidR="00DF062B">
              <w:rPr>
                <w:color w:val="000000" w:themeColor="text1"/>
              </w:rPr>
              <w:t>.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6, 10, 11, 12, 15, 18, 21, 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3D430D" w:rsidP="003D430D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t xml:space="preserve">Тема 4. </w:t>
            </w:r>
            <w:r w:rsidRPr="00DF062B">
              <w:t>Напрямки досліджень соціально-комунікаційних технологій зарубіжними вченими</w:t>
            </w:r>
            <w:r w:rsidRPr="00DF062B">
              <w:rPr>
                <w:color w:val="000000" w:themeColor="text1"/>
              </w:rPr>
              <w:t>.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 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6, 10, 11, 12, 15, 18, 21, 23,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3D430D" w:rsidP="00501A94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t xml:space="preserve">Тема 5. </w:t>
            </w:r>
            <w:r w:rsidRPr="00DF062B">
              <w:t>Специфіка ви</w:t>
            </w:r>
            <w:r w:rsidR="00DF062B">
              <w:t>користання технології пропаганди</w:t>
            </w:r>
            <w:r w:rsidR="00883873" w:rsidRPr="00DF062B">
              <w:rPr>
                <w:color w:val="000000" w:themeColor="text1"/>
              </w:rPr>
              <w:t>.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6, 10, 12, 15, 18, 21, 23, 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883873" w:rsidP="00501A94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iCs/>
                <w:color w:val="000000" w:themeColor="text1"/>
              </w:rPr>
              <w:t>Тема 6.</w:t>
            </w:r>
            <w:r w:rsidRPr="00DF062B">
              <w:rPr>
                <w:b/>
                <w:color w:val="000000" w:themeColor="text1"/>
              </w:rPr>
              <w:t xml:space="preserve"> </w:t>
            </w:r>
            <w:r w:rsidR="003D430D" w:rsidRPr="00DF062B">
              <w:t xml:space="preserve">Соціально-комунікаційні технології </w:t>
            </w:r>
            <w:r w:rsidR="003D430D" w:rsidRPr="00DF062B">
              <w:t>у працях українських дослідників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Самостійна робота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2, 11, 12, 15, 18, 21, 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883873" w:rsidP="00DF062B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>Тема</w:t>
            </w:r>
            <w:r w:rsidR="003D430D" w:rsidRPr="00DF062B">
              <w:rPr>
                <w:b/>
                <w:color w:val="000000" w:themeColor="text1"/>
              </w:rPr>
              <w:t xml:space="preserve"> 7.</w:t>
            </w:r>
            <w:r w:rsidR="00DF062B" w:rsidRPr="00DF062B">
              <w:t xml:space="preserve"> </w:t>
            </w:r>
            <w:r w:rsidR="00DF062B" w:rsidRPr="00DF062B">
              <w:t xml:space="preserve">Технології мутації: а) соціально-комунікаційні технології додавання; б) </w:t>
            </w:r>
            <w:r w:rsidR="00DF062B" w:rsidRPr="00DF062B">
              <w:lastRenderedPageBreak/>
              <w:t>соціально-комунікаційні технології модифікації; в) соціально-комунікаційні технології трансформації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1, 2, 4, 13, 14, 18, 21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DF062B" w:rsidP="00501A94">
            <w:pPr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lastRenderedPageBreak/>
              <w:t xml:space="preserve">Тема </w:t>
            </w:r>
            <w:r w:rsidRPr="00DF062B">
              <w:rPr>
                <w:b/>
                <w:color w:val="000000" w:themeColor="text1"/>
              </w:rPr>
              <w:t xml:space="preserve">8. </w:t>
            </w:r>
            <w:r w:rsidRPr="00DF062B">
              <w:t xml:space="preserve">Технології </w:t>
            </w:r>
            <w:proofErr w:type="spellStart"/>
            <w:r w:rsidRPr="00DF062B">
              <w:t>інмутації</w:t>
            </w:r>
            <w:proofErr w:type="spellEnd"/>
            <w:r w:rsidRPr="00DF062B">
              <w:t>: а) соціально-комунікаційні технології розбалансування; б) соціально-комунікаційні технології руйнування; в) соціально-комунікаційні технології знищення.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1, 2, 4, 13, 14, 18, 21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DF062B" w:rsidP="00501A94">
            <w:pPr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 xml:space="preserve">Тема </w:t>
            </w:r>
            <w:r w:rsidRPr="00DF062B">
              <w:rPr>
                <w:b/>
                <w:color w:val="000000" w:themeColor="text1"/>
              </w:rPr>
              <w:t>9</w:t>
            </w:r>
            <w:r w:rsidRPr="00DF062B">
              <w:rPr>
                <w:b/>
                <w:color w:val="000000" w:themeColor="text1"/>
              </w:rPr>
              <w:t>.</w:t>
            </w:r>
            <w:r w:rsidRPr="00DF062B">
              <w:t xml:space="preserve"> Структура соціально-комунікаційних технологій із позицій соціальних комунікацій.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1, 2, 4, 13, 14, 18, 21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883873" w:rsidRPr="00DF062B" w:rsidRDefault="00DF062B" w:rsidP="00501A94">
            <w:pPr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 xml:space="preserve">Тема </w:t>
            </w:r>
            <w:r w:rsidRPr="00DF062B">
              <w:rPr>
                <w:b/>
                <w:color w:val="000000" w:themeColor="text1"/>
              </w:rPr>
              <w:t>10</w:t>
            </w:r>
            <w:r w:rsidRPr="00DF062B">
              <w:rPr>
                <w:b/>
                <w:color w:val="000000" w:themeColor="text1"/>
              </w:rPr>
              <w:t>.</w:t>
            </w:r>
            <w:r w:rsidRPr="00DF062B">
              <w:t xml:space="preserve"> Дати характеристику технології «інформаційні війни». 3. Охарактеризувати інструментарій іміджевих технологій в політичних ток-шоу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1, 2, 13, 14, 18, 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3D430D" w:rsidRPr="00AA6E35" w:rsidTr="00501A94">
        <w:tc>
          <w:tcPr>
            <w:tcW w:w="1595" w:type="dxa"/>
          </w:tcPr>
          <w:p w:rsidR="003D430D" w:rsidRPr="00DF062B" w:rsidRDefault="00883873" w:rsidP="003D430D">
            <w:pPr>
              <w:jc w:val="both"/>
            </w:pPr>
            <w:r w:rsidRPr="00DF062B">
              <w:rPr>
                <w:b/>
                <w:color w:val="000000" w:themeColor="text1"/>
              </w:rPr>
              <w:t xml:space="preserve">Тема 11. </w:t>
            </w:r>
            <w:r w:rsidR="00DF062B" w:rsidRPr="00DF062B">
              <w:t xml:space="preserve">Особливості технології інформаційного </w:t>
            </w:r>
            <w:r w:rsidR="00DF062B" w:rsidRPr="00DF062B">
              <w:t>охоплення (пропаганди)</w:t>
            </w:r>
            <w:proofErr w:type="spellStart"/>
            <w:r w:rsidR="00DF062B" w:rsidRPr="00DF062B">
              <w:t>.</w:t>
            </w:r>
            <w:r w:rsidR="00DF062B" w:rsidRPr="00DF062B">
              <w:t>Технологія</w:t>
            </w:r>
            <w:proofErr w:type="spellEnd"/>
            <w:r w:rsidR="00DF062B" w:rsidRPr="00DF062B">
              <w:t xml:space="preserve"> інформацій</w:t>
            </w:r>
            <w:r w:rsidR="00DF062B" w:rsidRPr="00DF062B">
              <w:t xml:space="preserve">ного охоплення: поняття, види. Моделі сучасної пропаганди. </w:t>
            </w:r>
            <w:r w:rsidR="00DF062B" w:rsidRPr="00DF062B">
              <w:t xml:space="preserve"> </w:t>
            </w:r>
            <w:r w:rsidR="00DF062B" w:rsidRPr="00DF062B">
              <w:t xml:space="preserve">Методи та прийоми пропаганди. </w:t>
            </w:r>
            <w:r w:rsidR="00DF062B" w:rsidRPr="00DF062B">
              <w:t xml:space="preserve"> </w:t>
            </w:r>
          </w:p>
          <w:p w:rsidR="00883873" w:rsidRPr="00DF062B" w:rsidRDefault="00883873" w:rsidP="00501A9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883873" w:rsidRPr="00AA6E35" w:rsidRDefault="00DF062B" w:rsidP="00DF06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1, 2, 4, 13, 14, 18</w:t>
            </w:r>
            <w:bookmarkStart w:id="0" w:name="_GoBack"/>
            <w:bookmarkEnd w:id="0"/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10</w:t>
            </w:r>
          </w:p>
        </w:tc>
        <w:tc>
          <w:tcPr>
            <w:tcW w:w="1595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6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6. Система оцінювання курсу</w:t>
            </w:r>
          </w:p>
        </w:tc>
      </w:tr>
      <w:tr w:rsidR="00AA6E35" w:rsidRPr="00AA6E35" w:rsidTr="00501A94">
        <w:tc>
          <w:tcPr>
            <w:tcW w:w="3190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Поточне тестування та самостійна робота- 50 балів.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Підсумкова письмова робота(екзамен) – 50 балів.</w:t>
            </w:r>
          </w:p>
        </w:tc>
      </w:tr>
      <w:tr w:rsidR="00AA6E35" w:rsidRPr="00AA6E35" w:rsidTr="00501A94">
        <w:tc>
          <w:tcPr>
            <w:tcW w:w="3190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AA6E35" w:rsidRPr="00AA6E35" w:rsidTr="00501A94">
        <w:tc>
          <w:tcPr>
            <w:tcW w:w="3190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AA6E35" w:rsidRPr="00AA6E35" w:rsidTr="00501A94">
        <w:tc>
          <w:tcPr>
            <w:tcW w:w="3190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</w:t>
            </w:r>
            <w:r w:rsidRPr="00AA6E35">
              <w:rPr>
                <w:color w:val="000000" w:themeColor="text1"/>
              </w:rPr>
              <w:lastRenderedPageBreak/>
              <w:t xml:space="preserve">завдання самостійної роботи.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lastRenderedPageBreak/>
              <w:t>7. Політика курсу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3D430D" w:rsidRDefault="00883873" w:rsidP="003D430D">
            <w:pPr>
              <w:jc w:val="center"/>
              <w:rPr>
                <w:b/>
                <w:sz w:val="28"/>
                <w:szCs w:val="28"/>
              </w:rPr>
            </w:pPr>
            <w:r w:rsidRPr="00AA6E35">
              <w:rPr>
                <w:color w:val="000000" w:themeColor="text1"/>
              </w:rPr>
              <w:t>Навчальна ди</w:t>
            </w:r>
            <w:r w:rsidR="003D430D">
              <w:rPr>
                <w:color w:val="000000" w:themeColor="text1"/>
              </w:rPr>
              <w:t>сципліна «</w:t>
            </w:r>
            <w:r w:rsidR="003D430D" w:rsidRPr="003D430D">
              <w:t>Прикладні соціально-комунікативні  технології</w:t>
            </w:r>
            <w:r w:rsidRPr="003D430D">
              <w:rPr>
                <w:color w:val="000000" w:themeColor="text1"/>
              </w:rPr>
              <w:t>»</w:t>
            </w:r>
            <w:r w:rsidRPr="00AA6E35">
              <w:rPr>
                <w:color w:val="000000" w:themeColor="text1"/>
              </w:rPr>
              <w:t xml:space="preserve"> передбачає аналіз системи методів, завдяки яким здійснюється вивчення процесів масових комунікацій, комунікаційних технологій, видавничої справи та редагування, теорії та історії соціальних комунікацій, соціальної інформатики, журналістики тощо. 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Під час вивчення курсу студенти поглиблять знання про такі категорії, як метод, методологія, система методів, об’єкт і предмет дослідження, наукове пізнання, теоретичне й практичне дослідження, гіпотеза, теорія, проблема; діалектика, аналіз, синтез, індукція, дедукція тощо.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8. Рекомендована література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spacing w:line="360" w:lineRule="auto"/>
              <w:ind w:left="360"/>
              <w:rPr>
                <w:i/>
                <w:color w:val="000000" w:themeColor="text1"/>
                <w:sz w:val="28"/>
                <w:szCs w:val="28"/>
              </w:rPr>
            </w:pPr>
            <w:r w:rsidRPr="00AA6E35">
              <w:rPr>
                <w:i/>
                <w:color w:val="000000" w:themeColor="text1"/>
                <w:sz w:val="28"/>
                <w:szCs w:val="28"/>
              </w:rPr>
              <w:t>Основна:</w:t>
            </w:r>
          </w:p>
          <w:p w:rsidR="00DF062B" w:rsidRDefault="00DF062B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 </w:t>
            </w:r>
            <w:r>
              <w:t xml:space="preserve">Бондаренко І. Комунікаційні технології у контексті філософії соціальної інженерії / І. Бондаренко // Вісник Львівського університету. – Серія Журналістика. – 2014. – Випуск 39. – С. 194–201. 2. </w:t>
            </w:r>
          </w:p>
          <w:p w:rsidR="00DF062B" w:rsidRDefault="00DF062B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Гавра Д. </w:t>
            </w:r>
            <w:proofErr w:type="spellStart"/>
            <w:r>
              <w:t>Социально-коммуникативные</w:t>
            </w:r>
            <w:proofErr w:type="spellEnd"/>
            <w:r>
              <w:t xml:space="preserve"> </w:t>
            </w:r>
            <w:proofErr w:type="spellStart"/>
            <w:r>
              <w:t>технологии</w:t>
            </w:r>
            <w:proofErr w:type="spellEnd"/>
            <w:r>
              <w:t xml:space="preserve">: </w:t>
            </w:r>
            <w:proofErr w:type="spellStart"/>
            <w:r>
              <w:t>сущность</w:t>
            </w:r>
            <w:proofErr w:type="spellEnd"/>
            <w:r>
              <w:t xml:space="preserve">, структура, </w:t>
            </w:r>
            <w:proofErr w:type="spellStart"/>
            <w:r>
              <w:t>функции</w:t>
            </w:r>
            <w:proofErr w:type="spellEnd"/>
            <w:r>
              <w:t xml:space="preserve"> [</w:t>
            </w:r>
            <w:proofErr w:type="spellStart"/>
            <w:r>
              <w:t>Електронный</w:t>
            </w:r>
            <w:proofErr w:type="spellEnd"/>
            <w:r>
              <w:t xml:space="preserve"> ресурс] / Д. Гавра // </w:t>
            </w:r>
            <w:proofErr w:type="spellStart"/>
            <w:r>
              <w:t>Оптимальные</w:t>
            </w:r>
            <w:proofErr w:type="spellEnd"/>
            <w:r>
              <w:t xml:space="preserve"> </w:t>
            </w:r>
            <w:proofErr w:type="spellStart"/>
            <w:r>
              <w:t>коммуникации</w:t>
            </w:r>
            <w:proofErr w:type="spellEnd"/>
            <w:r>
              <w:t xml:space="preserve">. – Режим </w:t>
            </w:r>
            <w:proofErr w:type="spellStart"/>
            <w:r>
              <w:t>доступа</w:t>
            </w:r>
            <w:proofErr w:type="spellEnd"/>
            <w:r>
              <w:t>: http://jar</w:t>
            </w:r>
            <w:r>
              <w:t xml:space="preserve">ki.ru/wpress/2010/02/28/937/. </w:t>
            </w:r>
          </w:p>
          <w:p w:rsidR="00DF062B" w:rsidRDefault="00DF062B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 </w:t>
            </w:r>
            <w:proofErr w:type="spellStart"/>
            <w:r>
              <w:t>Корнєєв</w:t>
            </w:r>
            <w:proofErr w:type="spellEnd"/>
            <w:r>
              <w:t xml:space="preserve"> В. М. Комунікаційні технології як засоби проектування соціальної дійсності / В. М. </w:t>
            </w:r>
            <w:proofErr w:type="spellStart"/>
            <w:r>
              <w:t>Корнєєв</w:t>
            </w:r>
            <w:proofErr w:type="spellEnd"/>
            <w:r>
              <w:t xml:space="preserve"> // Наукові записки Інституту журналістики. – 2014. – Т. 56. </w:t>
            </w:r>
            <w:r>
              <w:t xml:space="preserve">– С. 176–181. </w:t>
            </w:r>
          </w:p>
          <w:p w:rsidR="00DF062B" w:rsidRPr="00DF062B" w:rsidRDefault="00DF062B" w:rsidP="00DF062B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 </w:t>
            </w:r>
            <w:proofErr w:type="spellStart"/>
            <w:r>
              <w:t>Корнєєв</w:t>
            </w:r>
            <w:proofErr w:type="spellEnd"/>
            <w:r>
              <w:t xml:space="preserve"> В. М. Соціально-комунікаційний підхід в українській науці : автореф. дис. … </w:t>
            </w:r>
            <w:proofErr w:type="spellStart"/>
            <w:r>
              <w:t>докт</w:t>
            </w:r>
            <w:proofErr w:type="spellEnd"/>
            <w:r>
              <w:t xml:space="preserve">. наук із соц. ком. : 27.00.01 / В. М. </w:t>
            </w:r>
            <w:proofErr w:type="spellStart"/>
            <w:r>
              <w:t>Корнєєв</w:t>
            </w:r>
            <w:proofErr w:type="spellEnd"/>
            <w:r>
              <w:t>. – К., 2017. – 32 с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 </w:t>
            </w:r>
            <w:proofErr w:type="spellStart"/>
            <w:r>
              <w:t>БодріярЖ</w:t>
            </w:r>
            <w:proofErr w:type="spellEnd"/>
            <w:r>
              <w:t xml:space="preserve">. </w:t>
            </w:r>
            <w:proofErr w:type="spellStart"/>
            <w:r>
              <w:t>Симулякри</w:t>
            </w:r>
            <w:proofErr w:type="spellEnd"/>
            <w:r>
              <w:t xml:space="preserve"> і симуляція. – К.: Основи, 2004. – 230 с.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Землянова</w:t>
            </w:r>
            <w:proofErr w:type="spellEnd"/>
            <w:r>
              <w:t xml:space="preserve"> Л.М. </w:t>
            </w:r>
            <w:proofErr w:type="spellStart"/>
            <w:r>
              <w:t>Коммуникативистика</w:t>
            </w:r>
            <w:proofErr w:type="spellEnd"/>
            <w:r>
              <w:t xml:space="preserve"> и </w:t>
            </w:r>
            <w:proofErr w:type="spellStart"/>
            <w:r>
              <w:t>средстваинформации</w:t>
            </w:r>
            <w:proofErr w:type="spellEnd"/>
            <w:r>
              <w:t xml:space="preserve">: </w:t>
            </w:r>
            <w:proofErr w:type="spellStart"/>
            <w:r>
              <w:t>Англо-русскийтолковыйсловарьконцепций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. – М., 2004. – 416 с. 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>Іванов В.Ф. Основні теорії масової комунікації і журналістики: Навчальний посібник. – К., 2010. – 258 с.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Кастельс</w:t>
            </w:r>
            <w:proofErr w:type="spellEnd"/>
            <w:r>
              <w:t xml:space="preserve"> М. </w:t>
            </w:r>
            <w:proofErr w:type="spellStart"/>
            <w:r>
              <w:t>Інтенет-Галактика</w:t>
            </w:r>
            <w:proofErr w:type="spellEnd"/>
            <w:r>
              <w:t xml:space="preserve">: Міркування щодо Інтернету, бізнесу і суспільства. – К., 2007. – 290 с.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Костенко Н.В. </w:t>
            </w:r>
            <w:proofErr w:type="spellStart"/>
            <w:r>
              <w:t>Ценности</w:t>
            </w:r>
            <w:proofErr w:type="spellEnd"/>
            <w:r>
              <w:t xml:space="preserve"> и </w:t>
            </w:r>
            <w:proofErr w:type="spellStart"/>
            <w:r>
              <w:t>символы</w:t>
            </w:r>
            <w:proofErr w:type="spellEnd"/>
            <w:r>
              <w:t xml:space="preserve"> в </w:t>
            </w:r>
            <w:proofErr w:type="spellStart"/>
            <w:r>
              <w:t>массовойкоммуникации</w:t>
            </w:r>
            <w:proofErr w:type="spellEnd"/>
            <w:r>
              <w:t xml:space="preserve">. – К., 1993.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Костенко Н.В., </w:t>
            </w:r>
            <w:proofErr w:type="spellStart"/>
            <w:r>
              <w:t>Оссоловский</w:t>
            </w:r>
            <w:proofErr w:type="spellEnd"/>
            <w:r>
              <w:t xml:space="preserve"> В.Л. </w:t>
            </w:r>
            <w:proofErr w:type="spellStart"/>
            <w:r>
              <w:t>Ценностипрофессиональнойдеятельности</w:t>
            </w:r>
            <w:proofErr w:type="spellEnd"/>
            <w:r>
              <w:t xml:space="preserve">: </w:t>
            </w:r>
            <w:proofErr w:type="spellStart"/>
            <w:r>
              <w:t>опытсоциологическогоисследованиякино</w:t>
            </w:r>
            <w:proofErr w:type="spellEnd"/>
            <w:r>
              <w:t xml:space="preserve">. – К., 1986.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Луман</w:t>
            </w:r>
            <w:proofErr w:type="spellEnd"/>
            <w:r>
              <w:t xml:space="preserve"> Н. </w:t>
            </w:r>
            <w:proofErr w:type="spellStart"/>
            <w:r>
              <w:t>Медиакоммуникации</w:t>
            </w:r>
            <w:proofErr w:type="spellEnd"/>
            <w:r>
              <w:t xml:space="preserve">. – М., 2005. – 280 с.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Луман</w:t>
            </w:r>
            <w:proofErr w:type="spellEnd"/>
            <w:r>
              <w:t xml:space="preserve"> Н. Реальність мас-медіа. – К., 2010. – 158 с.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Мак-Квейл</w:t>
            </w:r>
            <w:proofErr w:type="spellEnd"/>
            <w:r>
              <w:t xml:space="preserve"> Д. Теорія масової комунікації. – Львів, 2010. – 538 с.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Мак-Комбс</w:t>
            </w:r>
            <w:proofErr w:type="spellEnd"/>
            <w:r>
              <w:t xml:space="preserve"> М. Встановлення пріоритетів: </w:t>
            </w:r>
            <w:proofErr w:type="spellStart"/>
            <w:r>
              <w:t>масмедіа</w:t>
            </w:r>
            <w:proofErr w:type="spellEnd"/>
            <w:r>
              <w:t xml:space="preserve"> та громадська думка. – К., 2007.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>Моніторинг та інформаційне моделювання засобів масової інформації: колективна монографія / В.В.</w:t>
            </w:r>
            <w:proofErr w:type="spellStart"/>
            <w:r>
              <w:t>Різун</w:t>
            </w:r>
            <w:proofErr w:type="spellEnd"/>
            <w:r>
              <w:t xml:space="preserve">, В.Ф.Іванов, ін. – К., 2007.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r>
              <w:t xml:space="preserve">Новини </w:t>
            </w:r>
            <w:r>
              <w:rPr>
                <w:lang w:val="en-US"/>
              </w:rPr>
              <w:t>VS</w:t>
            </w:r>
            <w:r>
              <w:t xml:space="preserve"> Новини: Виборча кампанія в новинних телепрограмах / За ред. Н.Костенко та В.Іванова. – К., 2005.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Почепцов</w:t>
            </w:r>
            <w:proofErr w:type="spellEnd"/>
            <w:r>
              <w:t xml:space="preserve"> Г.Г. Глобальні проекти: конструювання майбутнього. – К., 2009. – 212 с. 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Почепцов</w:t>
            </w:r>
            <w:proofErr w:type="spellEnd"/>
            <w:r>
              <w:t xml:space="preserve"> Г.Г. </w:t>
            </w:r>
            <w:proofErr w:type="spellStart"/>
            <w:r>
              <w:t>Инжинирингбудущего</w:t>
            </w:r>
            <w:proofErr w:type="spellEnd"/>
            <w:r>
              <w:t xml:space="preserve">: </w:t>
            </w:r>
            <w:proofErr w:type="spellStart"/>
            <w:r>
              <w:t>Лекции</w:t>
            </w:r>
            <w:proofErr w:type="spellEnd"/>
            <w:r>
              <w:t xml:space="preserve"> по </w:t>
            </w:r>
            <w:proofErr w:type="spellStart"/>
            <w:r>
              <w:t>стратегическим</w:t>
            </w:r>
            <w:proofErr w:type="spellEnd"/>
            <w:r>
              <w:t xml:space="preserve"> и </w:t>
            </w:r>
            <w:proofErr w:type="spellStart"/>
            <w:r>
              <w:t>форсайтнымисследованиям</w:t>
            </w:r>
            <w:proofErr w:type="spellEnd"/>
            <w:r>
              <w:t xml:space="preserve">. – К., 2010. – 304 с.  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Почепцов</w:t>
            </w:r>
            <w:proofErr w:type="spellEnd"/>
            <w:r>
              <w:t xml:space="preserve"> Г.Г. </w:t>
            </w:r>
            <w:proofErr w:type="spellStart"/>
            <w:r>
              <w:t>Стратегическиекоммуникации</w:t>
            </w:r>
            <w:proofErr w:type="spellEnd"/>
            <w:r>
              <w:t xml:space="preserve">: </w:t>
            </w:r>
            <w:proofErr w:type="spellStart"/>
            <w:r>
              <w:t>Стратегическиекоммуникации</w:t>
            </w:r>
            <w:proofErr w:type="spellEnd"/>
            <w:r>
              <w:t xml:space="preserve"> в </w:t>
            </w:r>
            <w:proofErr w:type="spellStart"/>
            <w:r>
              <w:t>политике</w:t>
            </w:r>
            <w:proofErr w:type="spellEnd"/>
            <w:r>
              <w:t xml:space="preserve">, </w:t>
            </w:r>
            <w:proofErr w:type="spellStart"/>
            <w:r>
              <w:t>бизнесе</w:t>
            </w:r>
            <w:proofErr w:type="spellEnd"/>
            <w:r>
              <w:t xml:space="preserve"> и </w:t>
            </w:r>
            <w:proofErr w:type="spellStart"/>
            <w:r>
              <w:t>государственномуправлении</w:t>
            </w:r>
            <w:proofErr w:type="spellEnd"/>
            <w:r>
              <w:t>. – К., 2008. – 216 с.</w:t>
            </w:r>
          </w:p>
          <w:p w:rsidR="003D430D" w:rsidRDefault="003D430D" w:rsidP="003D430D">
            <w:pPr>
              <w:numPr>
                <w:ilvl w:val="0"/>
                <w:numId w:val="5"/>
              </w:numPr>
              <w:tabs>
                <w:tab w:val="num" w:pos="567"/>
              </w:tabs>
              <w:ind w:left="567" w:hanging="567"/>
              <w:jc w:val="both"/>
            </w:pPr>
            <w:proofErr w:type="spellStart"/>
            <w:r>
              <w:t>Почепцов</w:t>
            </w:r>
            <w:proofErr w:type="spellEnd"/>
            <w:r>
              <w:t xml:space="preserve"> Г.Г. Теорія комунікацій. – К., 1999. – 308 с.</w:t>
            </w:r>
          </w:p>
          <w:p w:rsidR="003D430D" w:rsidRDefault="003D430D" w:rsidP="003D430D">
            <w:pPr>
              <w:ind w:firstLine="685"/>
              <w:jc w:val="both"/>
              <w:rPr>
                <w:color w:val="000000"/>
                <w:spacing w:val="-5"/>
              </w:rPr>
            </w:pPr>
          </w:p>
          <w:p w:rsidR="00883873" w:rsidRPr="00AA6E35" w:rsidRDefault="00883873" w:rsidP="003D4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color w:val="000000" w:themeColor="text1"/>
                <w:spacing w:val="-13"/>
              </w:rPr>
            </w:pP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color w:val="000000" w:themeColor="text1"/>
                <w:spacing w:val="-13"/>
              </w:rPr>
            </w:pPr>
          </w:p>
          <w:p w:rsidR="00883873" w:rsidRPr="00AA6E35" w:rsidRDefault="00883873" w:rsidP="00501A94">
            <w:pPr>
              <w:shd w:val="clear" w:color="auto" w:fill="FFFFFF"/>
              <w:tabs>
                <w:tab w:val="left" w:pos="0"/>
              </w:tabs>
              <w:spacing w:before="14" w:line="226" w:lineRule="exact"/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Нормативно-правові акти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t xml:space="preserve">1. Конституція України від 28 червня 1996 р. // Відомості Верховної Ради України. – 1996. – № 30. – Ст. 141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2. Закон України «Про відновлення дії окремих положень Конституції України» від 21 лютого 2014 р. – [Електронний ресурс]. – Режим доступу : </w:t>
            </w:r>
            <w:hyperlink r:id="rId7" w:anchor="n2" w:history="1">
              <w:r w:rsidRPr="00AA6E35">
                <w:rPr>
                  <w:rStyle w:val="a5"/>
                  <w:color w:val="000000" w:themeColor="text1"/>
                </w:rPr>
                <w:t>http://zakon4.rada.gov.ua/laws/show/742-18/paran2#n2</w:t>
              </w:r>
            </w:hyperlink>
            <w:r w:rsidRPr="00AA6E35">
              <w:rPr>
                <w:color w:val="000000" w:themeColor="text1"/>
              </w:rPr>
              <w:t xml:space="preserve">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3.. Закон України «Про статус народного депутата України» від 21 листопада 1992 р. // Відомості Верховної Ради України. – 1993. – № 3. – Ст. 17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3. Закон України «Про внесення змін до Закону України «Про статус народного депутата України» від 28 лютого 2014 р. – [Електронний ресурс]. – Режим доступу : </w:t>
            </w:r>
            <w:hyperlink r:id="rId8" w:anchor="n2" w:history="1">
              <w:r w:rsidRPr="00AA6E35">
                <w:rPr>
                  <w:rStyle w:val="a5"/>
                  <w:color w:val="000000" w:themeColor="text1"/>
                </w:rPr>
                <w:t>http://zakon3.rada.gov.ua/laws/show/836-18/paran2#n2</w:t>
              </w:r>
            </w:hyperlink>
            <w:r w:rsidRPr="00AA6E35">
              <w:rPr>
                <w:color w:val="000000" w:themeColor="text1"/>
              </w:rPr>
              <w:t xml:space="preserve">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4. Закон України «Про внесення змін до Конституції України» від 8 грудня 2004 р. // Відомості Верховної Ради України. – 2005. – № 2. – Ст. 44.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5. Закон України «Про громадянство України» від 18 січня 2001 р. // Відомості Верховної Ради України. – 2001. – № 13. – Ст. 65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6. Закон України «Про місцеві вибори» від 14 липня 2015 р. // Відомості Верховної Ради України. – 2015. – № 37 – 38. – Ст. 366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7. Закон України «Про статус депутатів місцевих рад» від 11 липня 2002 р. // Відомості Верховної Ради України. – 2002. – № 40. – Ст. 290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8. Закон України «Про місцеве самоврядування в Україні» від 21 травня 1997 р. // Відомості Верховної Ради України. – 1997. – № 24. – Ст. 170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9. Закон України «Про вибори народних депутатів України» від 17 листопада 2011 р. – [Електронний ресурс]. – Режим доступу : http://zakon1.rada.gov.ua/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10. Постанова Верховної Ради України «Про затвердження Положення про помічника-консультанта народного депутата України» від 13 жовтня 1995 р. // Відомості Верховної Ради України. – 1995. – № 37. – Ст. 283 (зі змінами).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11. Указ Президента України «Про дострокове припинення повноважень Верховної Ради України» №264/2007 від 2.04.2007 р. : // Офіційний Вісник Президента України. – № 1. – 02.04.2007.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12. Указ Президента України «Про дострокове припинення повноважень Верховної Ради України та призначення позачергових виборів» № 690/2014 від 27.08.2014 р. : // Офіційний вісник Президента України від 27.08.2014. – № 36. – Стор. 3. – Ст. 1544. 13 </w:t>
            </w:r>
          </w:p>
          <w:p w:rsidR="00883873" w:rsidRPr="00AA6E35" w:rsidRDefault="00883873" w:rsidP="00501A94">
            <w:pPr>
              <w:ind w:left="720" w:hanging="360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13. Указ Президента України «Про дострокове припинення повноважень Верховної Ради України та призначення позачергових виборів» №355/2007 від 26.04.2007 р.: // Офіційний Вісник Президента України. – № 5 від 26.04.2007. </w:t>
            </w:r>
          </w:p>
          <w:p w:rsidR="00883873" w:rsidRPr="00AA6E35" w:rsidRDefault="00883873" w:rsidP="00501A94">
            <w:pPr>
              <w:shd w:val="clear" w:color="auto" w:fill="FFFFFF"/>
              <w:tabs>
                <w:tab w:val="left" w:pos="0"/>
              </w:tabs>
              <w:spacing w:before="14" w:line="226" w:lineRule="exact"/>
              <w:ind w:left="720" w:hanging="360"/>
              <w:rPr>
                <w:color w:val="000000" w:themeColor="text1"/>
                <w:sz w:val="28"/>
              </w:rPr>
            </w:pPr>
          </w:p>
          <w:p w:rsidR="00883873" w:rsidRPr="00AA6E35" w:rsidRDefault="00883873" w:rsidP="00501A94">
            <w:pPr>
              <w:shd w:val="clear" w:color="auto" w:fill="FFFFFF"/>
              <w:tabs>
                <w:tab w:val="left" w:pos="0"/>
              </w:tabs>
              <w:spacing w:before="14" w:line="226" w:lineRule="exact"/>
              <w:ind w:left="720" w:hanging="360"/>
              <w:rPr>
                <w:color w:val="000000" w:themeColor="text1"/>
                <w:spacing w:val="-20"/>
                <w:sz w:val="28"/>
              </w:rPr>
            </w:pPr>
            <w:proofErr w:type="spellStart"/>
            <w:r w:rsidRPr="00AA6E35">
              <w:rPr>
                <w:color w:val="000000" w:themeColor="text1"/>
                <w:sz w:val="28"/>
              </w:rPr>
              <w:t>Інернет-</w:t>
            </w:r>
            <w:proofErr w:type="spellEnd"/>
            <w:r w:rsidRPr="00AA6E35">
              <w:rPr>
                <w:color w:val="000000" w:themeColor="text1"/>
                <w:sz w:val="28"/>
              </w:rPr>
              <w:t xml:space="preserve"> ресурси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rPr>
                <w:noProof/>
                <w:color w:val="000000" w:themeColor="text1"/>
              </w:rPr>
            </w:pPr>
            <w:r w:rsidRPr="00AA6E35">
              <w:rPr>
                <w:noProof/>
                <w:color w:val="000000" w:themeColor="text1"/>
              </w:rPr>
              <w:t xml:space="preserve">Національна бібліотека України імені В. І. Вернадського, електронні фахові видання // </w:t>
            </w:r>
            <w:r w:rsidRPr="00AA6E35">
              <w:rPr>
                <w:noProof/>
                <w:color w:val="000000" w:themeColor="text1"/>
                <w:lang w:val="en-US"/>
              </w:rPr>
              <w:t>www</w:t>
            </w:r>
            <w:r w:rsidRPr="00AA6E35">
              <w:rPr>
                <w:noProof/>
                <w:color w:val="000000" w:themeColor="text1"/>
              </w:rPr>
              <w:t>.</w:t>
            </w:r>
            <w:r w:rsidRPr="00AA6E35">
              <w:rPr>
                <w:noProof/>
                <w:color w:val="000000" w:themeColor="text1"/>
                <w:lang w:val="en-US"/>
              </w:rPr>
              <w:t>nbuv</w:t>
            </w:r>
            <w:r w:rsidRPr="00AA6E35">
              <w:rPr>
                <w:noProof/>
                <w:color w:val="000000" w:themeColor="text1"/>
              </w:rPr>
              <w:t>.</w:t>
            </w:r>
            <w:r w:rsidRPr="00AA6E35">
              <w:rPr>
                <w:noProof/>
                <w:color w:val="000000" w:themeColor="text1"/>
                <w:lang w:val="en-US"/>
              </w:rPr>
              <w:t>gov</w:t>
            </w:r>
            <w:r w:rsidRPr="00AA6E35">
              <w:rPr>
                <w:noProof/>
                <w:color w:val="000000" w:themeColor="text1"/>
              </w:rPr>
              <w:t>.</w:t>
            </w:r>
            <w:r w:rsidRPr="00AA6E35">
              <w:rPr>
                <w:noProof/>
                <w:color w:val="000000" w:themeColor="text1"/>
                <w:lang w:val="en-US"/>
              </w:rPr>
              <w:t>ua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rPr>
                <w:noProof/>
                <w:color w:val="000000" w:themeColor="text1"/>
              </w:rPr>
            </w:pPr>
            <w:r w:rsidRPr="00AA6E35">
              <w:rPr>
                <w:noProof/>
                <w:color w:val="000000" w:themeColor="text1"/>
              </w:rPr>
              <w:t xml:space="preserve">Наукова бібліотека Прикарпатського національного університету імені В. Стефаника  </w:t>
            </w:r>
            <w:hyperlink r:id="rId9" w:history="1">
              <w:r w:rsidRPr="00AA6E35">
                <w:rPr>
                  <w:rStyle w:val="a5"/>
                  <w:color w:val="000000" w:themeColor="text1"/>
                </w:rPr>
                <w:t>http://lib.pnu.edu.ua/</w:t>
              </w:r>
            </w:hyperlink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rPr>
                <w:noProof/>
                <w:color w:val="000000" w:themeColor="text1"/>
              </w:rPr>
            </w:pPr>
            <w:r w:rsidRPr="00AA6E35">
              <w:rPr>
                <w:noProof/>
                <w:color w:val="000000" w:themeColor="text1"/>
              </w:rPr>
              <w:t>Національна парламентська бібліотека України //</w:t>
            </w:r>
            <w:r w:rsidRPr="00AA6E35">
              <w:rPr>
                <w:color w:val="000000" w:themeColor="text1"/>
              </w:rPr>
              <w:t xml:space="preserve"> </w:t>
            </w:r>
            <w:r w:rsidRPr="00AA6E35">
              <w:rPr>
                <w:noProof/>
                <w:color w:val="000000" w:themeColor="text1"/>
              </w:rPr>
              <w:t>http://www.nplu.org/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rPr>
                <w:noProof/>
                <w:color w:val="000000" w:themeColor="text1"/>
              </w:rPr>
            </w:pPr>
            <w:r w:rsidRPr="00AA6E35">
              <w:rPr>
                <w:noProof/>
                <w:color w:val="000000" w:themeColor="text1"/>
              </w:rPr>
              <w:t>Книжкова палата України імені Івана Федорова //</w:t>
            </w:r>
            <w:r w:rsidRPr="00AA6E35">
              <w:rPr>
                <w:color w:val="000000" w:themeColor="text1"/>
              </w:rPr>
              <w:t xml:space="preserve"> </w:t>
            </w:r>
            <w:hyperlink r:id="rId10" w:history="1">
              <w:r w:rsidRPr="00AA6E35">
                <w:rPr>
                  <w:rStyle w:val="a5"/>
                  <w:noProof/>
                  <w:color w:val="000000" w:themeColor="text1"/>
                </w:rPr>
                <w:t>http://www.ukrbook.net/</w:t>
              </w:r>
            </w:hyperlink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rPr>
                <w:noProof/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Офіційне Інтернет-представництво Президента України</w:t>
            </w:r>
            <w:r w:rsidRPr="00AA6E35">
              <w:rPr>
                <w:noProof/>
                <w:color w:val="000000" w:themeColor="text1"/>
              </w:rPr>
              <w:t xml:space="preserve"> </w:t>
            </w:r>
            <w:r w:rsidRPr="00AA6E35">
              <w:rPr>
                <w:color w:val="000000" w:themeColor="text1"/>
              </w:rPr>
              <w:t>http://www.president.gov.ua/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веб-сайт Верховної Ради України http://zakon.rada.gov.ua/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Єдиний веб-портал органів виконавчої влади України http://www.kmu.gov.ua/control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веб-сайт Конституційного суду України http://www.ccu.gov.ua/uk/index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веб-сервер Центральної виборчої комісії України http://www.cvk.gov.ua/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веб-сайт Державного комітету статистики України http://www.ukrstat.gov.ua/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сайт Ради національної безпеки і оборони України http://www.rainbow.gov.ua/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t>Національний інститут стратегічних досліджень http://www.niss.gov.ua/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сайт Ради Європи http://www.coe.int/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сайт Європейського суду з прав людини http://www.echr.coe.int/echr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сайт Венеціанської комісії Ради Європи http://www.venice.coe.int/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сайт Європейського Союзу http://europa.eu/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Офіційний сайт ОБСЄ http://www.osce.org/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Сайт Національної бібліотеки України </w:t>
            </w:r>
            <w:proofErr w:type="spellStart"/>
            <w:r w:rsidRPr="00AA6E35">
              <w:rPr>
                <w:color w:val="000000" w:themeColor="text1"/>
              </w:rPr>
              <w:t>ім.В.І.Вернадського</w:t>
            </w:r>
            <w:proofErr w:type="spellEnd"/>
            <w:r w:rsidRPr="00AA6E35">
              <w:rPr>
                <w:color w:val="000000" w:themeColor="text1"/>
              </w:rPr>
              <w:t xml:space="preserve"> http://www.nbuv.gov.ua/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Національної Парламентської бібліотеки України http://www.nplu.kiev.ua/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Сайт Інституту політичних </w:t>
            </w:r>
            <w:proofErr w:type="spellStart"/>
            <w:r w:rsidRPr="00AA6E35">
              <w:rPr>
                <w:color w:val="000000" w:themeColor="text1"/>
              </w:rPr>
              <w:t>політичних</w:t>
            </w:r>
            <w:proofErr w:type="spellEnd"/>
            <w:r w:rsidRPr="00AA6E35">
              <w:rPr>
                <w:color w:val="000000" w:themeColor="text1"/>
              </w:rPr>
              <w:t xml:space="preserve"> і </w:t>
            </w:r>
            <w:proofErr w:type="spellStart"/>
            <w:r w:rsidRPr="00AA6E35">
              <w:rPr>
                <w:color w:val="000000" w:themeColor="text1"/>
              </w:rPr>
              <w:t>етнонаціональних</w:t>
            </w:r>
            <w:proofErr w:type="spellEnd"/>
            <w:r w:rsidRPr="00AA6E35">
              <w:rPr>
                <w:color w:val="000000" w:themeColor="text1"/>
              </w:rPr>
              <w:t xml:space="preserve"> досліджень </w:t>
            </w:r>
            <w:proofErr w:type="spellStart"/>
            <w:r w:rsidRPr="00AA6E35">
              <w:rPr>
                <w:color w:val="000000" w:themeColor="text1"/>
              </w:rPr>
              <w:t>ім.І.Ф.Кураса</w:t>
            </w:r>
            <w:proofErr w:type="spellEnd"/>
            <w:r w:rsidRPr="00AA6E35">
              <w:rPr>
                <w:color w:val="000000" w:themeColor="text1"/>
              </w:rPr>
              <w:t xml:space="preserve"> НАН України http://www.ipiend.gov.ua/?mid=1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Українського незалежного центру політичних досліджень http://www.ucipr.kiev.ua/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Українського центру політичного менеджмент http://www.politik.org.ua/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журналу «Політологічний вісник» http://www.nbuv.gov.ua/Portal/Soc_Gum/Pv/index.html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журналу «Віче» http://www.viche.info/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альманаху «Грані» http://www.grani.org.ua/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наукового вісника «</w:t>
            </w:r>
            <w:proofErr w:type="spellStart"/>
            <w:r w:rsidRPr="00AA6E35">
              <w:rPr>
                <w:color w:val="000000" w:themeColor="text1"/>
              </w:rPr>
              <w:t>Гілея</w:t>
            </w:r>
            <w:proofErr w:type="spellEnd"/>
            <w:r w:rsidRPr="00AA6E35">
              <w:rPr>
                <w:color w:val="000000" w:themeColor="text1"/>
              </w:rPr>
              <w:t>» http://www.gileya.org.ua/213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журналу «Нова парадигма» http://www.novaparadigma.org.ua/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щоденної української газети «День» http://www.day.kiev.ua/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щотижневика «2000» http://2000.net.ua/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газети «Дзеркало тижня» http://www.zn.ua/</w:t>
            </w:r>
          </w:p>
          <w:p w:rsidR="00883873" w:rsidRPr="00AA6E35" w:rsidRDefault="00883873" w:rsidP="00501A94">
            <w:pPr>
              <w:numPr>
                <w:ilvl w:val="0"/>
                <w:numId w:val="2"/>
              </w:numPr>
              <w:ind w:left="709" w:hanging="349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Сайт журналу «ПОЛИС» http://www.polistudies.ru/</w:t>
            </w:r>
          </w:p>
          <w:p w:rsidR="00883873" w:rsidRPr="00AA6E35" w:rsidRDefault="00883873" w:rsidP="00501A94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83873" w:rsidRPr="00C67355" w:rsidRDefault="00883873" w:rsidP="00883873">
      <w:pPr>
        <w:jc w:val="both"/>
        <w:rPr>
          <w:lang w:val="uk-UA"/>
        </w:rPr>
      </w:pPr>
    </w:p>
    <w:p w:rsidR="00883873" w:rsidRDefault="00883873" w:rsidP="00883873">
      <w:pPr>
        <w:jc w:val="both"/>
        <w:rPr>
          <w:sz w:val="28"/>
          <w:szCs w:val="28"/>
          <w:lang w:val="uk-UA"/>
        </w:rPr>
      </w:pPr>
    </w:p>
    <w:p w:rsidR="00883873" w:rsidRDefault="00883873" w:rsidP="00883873">
      <w:pPr>
        <w:jc w:val="both"/>
        <w:rPr>
          <w:lang w:val="uk-UA"/>
        </w:rPr>
      </w:pPr>
    </w:p>
    <w:p w:rsidR="00883873" w:rsidRDefault="00883873" w:rsidP="00883873">
      <w:pPr>
        <w:jc w:val="both"/>
        <w:rPr>
          <w:sz w:val="28"/>
          <w:szCs w:val="28"/>
          <w:lang w:val="uk-UA"/>
        </w:rPr>
      </w:pPr>
    </w:p>
    <w:p w:rsidR="00883873" w:rsidRDefault="00883873" w:rsidP="0088387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883873" w:rsidRDefault="00883873" w:rsidP="00883873">
      <w:pPr>
        <w:jc w:val="center"/>
        <w:rPr>
          <w:b/>
          <w:sz w:val="28"/>
          <w:szCs w:val="28"/>
          <w:lang w:val="uk-UA"/>
        </w:rPr>
      </w:pPr>
    </w:p>
    <w:p w:rsidR="00883873" w:rsidRPr="00784AB3" w:rsidRDefault="00883873" w:rsidP="00883873">
      <w:pPr>
        <w:jc w:val="center"/>
        <w:rPr>
          <w:b/>
          <w:sz w:val="28"/>
          <w:szCs w:val="28"/>
          <w:lang w:val="uk-UA"/>
        </w:rPr>
      </w:pPr>
    </w:p>
    <w:p w:rsidR="00883873" w:rsidRDefault="00883873" w:rsidP="00883873"/>
    <w:p w:rsidR="00804C73" w:rsidRDefault="00DF062B"/>
    <w:sectPr w:rsidR="00804C7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0F"/>
    <w:multiLevelType w:val="hybridMultilevel"/>
    <w:tmpl w:val="A696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A5455A2"/>
    <w:multiLevelType w:val="singleLevel"/>
    <w:tmpl w:val="D57A200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3">
    <w:nsid w:val="632E2C98"/>
    <w:multiLevelType w:val="hybridMultilevel"/>
    <w:tmpl w:val="0F406B5E"/>
    <w:lvl w:ilvl="0" w:tplc="6AC4450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73"/>
    <w:rsid w:val="003D430D"/>
    <w:rsid w:val="00574BA2"/>
    <w:rsid w:val="005A11A8"/>
    <w:rsid w:val="00883873"/>
    <w:rsid w:val="00AA6E35"/>
    <w:rsid w:val="00AD571F"/>
    <w:rsid w:val="00D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387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88387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883873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semiHidden/>
    <w:unhideWhenUsed/>
    <w:rsid w:val="00883873"/>
    <w:rPr>
      <w:color w:val="0000FF"/>
      <w:u w:val="single"/>
    </w:rPr>
  </w:style>
  <w:style w:type="paragraph" w:customStyle="1" w:styleId="Default">
    <w:name w:val="Default"/>
    <w:rsid w:val="00883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nTekst">
    <w:name w:val="Osnovn_Tekst"/>
    <w:basedOn w:val="a"/>
    <w:rsid w:val="00883873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387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88387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883873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semiHidden/>
    <w:unhideWhenUsed/>
    <w:rsid w:val="00883873"/>
    <w:rPr>
      <w:color w:val="0000FF"/>
      <w:u w:val="single"/>
    </w:rPr>
  </w:style>
  <w:style w:type="paragraph" w:customStyle="1" w:styleId="Default">
    <w:name w:val="Default"/>
    <w:rsid w:val="00883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nTekst">
    <w:name w:val="Osnovn_Tekst"/>
    <w:basedOn w:val="a"/>
    <w:rsid w:val="00883873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836-18/paran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742-18/paran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krboo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9142</Words>
  <Characters>5211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2</cp:revision>
  <dcterms:created xsi:type="dcterms:W3CDTF">2019-10-30T13:28:00Z</dcterms:created>
  <dcterms:modified xsi:type="dcterms:W3CDTF">2019-10-30T13:28:00Z</dcterms:modified>
</cp:coreProperties>
</file>