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5B" w:rsidRPr="00CD0D5B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  <w:bCs/>
          <w:lang w:val="uk-UA"/>
        </w:rPr>
      </w:pPr>
      <w:bookmarkStart w:id="0" w:name="_GoBack"/>
      <w:bookmarkEnd w:id="0"/>
      <w:r w:rsidRPr="00CD0D5B">
        <w:rPr>
          <w:rFonts w:ascii="Times New Roman" w:hAnsi="Times New Roman" w:cs="Times New Roman"/>
          <w:bCs/>
          <w:lang w:val="uk-UA"/>
        </w:rPr>
        <w:t>Затверджено</w:t>
      </w:r>
      <w:r w:rsidRPr="00CD0D5B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CD0D5B">
        <w:rPr>
          <w:rFonts w:ascii="Times New Roman" w:hAnsi="Times New Roman" w:cs="Times New Roman"/>
          <w:bCs/>
          <w:lang w:val="ru-RU"/>
        </w:rPr>
        <w:t>Вченою</w:t>
      </w:r>
      <w:proofErr w:type="spellEnd"/>
      <w:r w:rsidRPr="00CD0D5B">
        <w:rPr>
          <w:rFonts w:ascii="Times New Roman" w:hAnsi="Times New Roman" w:cs="Times New Roman"/>
          <w:bCs/>
          <w:lang w:val="ru-RU"/>
        </w:rPr>
        <w:t xml:space="preserve"> </w:t>
      </w:r>
      <w:r w:rsidRPr="00CD0D5B">
        <w:rPr>
          <w:rFonts w:ascii="Times New Roman" w:hAnsi="Times New Roman" w:cs="Times New Roman"/>
          <w:bCs/>
          <w:lang w:val="uk-UA"/>
        </w:rPr>
        <w:t>р</w:t>
      </w:r>
      <w:proofErr w:type="spellStart"/>
      <w:r w:rsidRPr="00CD0D5B">
        <w:rPr>
          <w:rFonts w:ascii="Times New Roman" w:hAnsi="Times New Roman" w:cs="Times New Roman"/>
          <w:bCs/>
          <w:lang w:val="ru-RU"/>
        </w:rPr>
        <w:t>адою</w:t>
      </w:r>
      <w:proofErr w:type="spellEnd"/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r w:rsidRPr="00CD0D5B">
        <w:rPr>
          <w:rFonts w:ascii="Times New Roman" w:hAnsi="Times New Roman" w:cs="Times New Roman"/>
          <w:lang w:val="uk-UA"/>
        </w:rPr>
        <w:t>Д</w:t>
      </w:r>
      <w:proofErr w:type="spellStart"/>
      <w:r w:rsidRPr="00CD0D5B">
        <w:rPr>
          <w:rFonts w:ascii="Times New Roman" w:hAnsi="Times New Roman" w:cs="Times New Roman"/>
          <w:lang w:val="ru-RU"/>
        </w:rPr>
        <w:t>ержавного</w:t>
      </w:r>
      <w:proofErr w:type="spellEnd"/>
      <w:r w:rsidRPr="00CD0D5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D0D5B">
        <w:rPr>
          <w:rFonts w:ascii="Times New Roman" w:hAnsi="Times New Roman" w:cs="Times New Roman"/>
          <w:lang w:val="ru-RU"/>
        </w:rPr>
        <w:t>вищого</w:t>
      </w:r>
      <w:proofErr w:type="spellEnd"/>
      <w:r w:rsidRPr="00CD0D5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D0D5B">
        <w:rPr>
          <w:rFonts w:ascii="Times New Roman" w:hAnsi="Times New Roman" w:cs="Times New Roman"/>
          <w:lang w:val="ru-RU"/>
        </w:rPr>
        <w:t>навчального</w:t>
      </w:r>
      <w:proofErr w:type="spellEnd"/>
      <w:r w:rsidRPr="00CD0D5B">
        <w:rPr>
          <w:rFonts w:ascii="Times New Roman" w:hAnsi="Times New Roman" w:cs="Times New Roman"/>
          <w:lang w:val="ru-RU"/>
        </w:rPr>
        <w:t xml:space="preserve"> закладу</w:t>
      </w:r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r w:rsidRPr="00CD0D5B">
        <w:rPr>
          <w:rFonts w:ascii="Times New Roman" w:hAnsi="Times New Roman" w:cs="Times New Roman"/>
        </w:rPr>
        <w:t>«</w:t>
      </w:r>
      <w:proofErr w:type="spellStart"/>
      <w:r w:rsidRPr="00CD0D5B">
        <w:rPr>
          <w:rFonts w:ascii="Times New Roman" w:hAnsi="Times New Roman" w:cs="Times New Roman"/>
        </w:rPr>
        <w:t>Прикарпатський</w:t>
      </w:r>
      <w:proofErr w:type="spell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національний</w:t>
      </w:r>
      <w:proofErr w:type="spell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університет</w:t>
      </w:r>
      <w:proofErr w:type="spellEnd"/>
    </w:p>
    <w:p w:rsidR="00CD0D5B" w:rsidRP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  <w:lang w:val="ru-RU"/>
        </w:rPr>
      </w:pPr>
      <w:proofErr w:type="spellStart"/>
      <w:r w:rsidRPr="008C6609">
        <w:rPr>
          <w:rFonts w:ascii="Times New Roman" w:hAnsi="Times New Roman" w:cs="Times New Roman"/>
          <w:lang w:val="ru-RU"/>
        </w:rPr>
        <w:t>імені</w:t>
      </w:r>
      <w:proofErr w:type="spellEnd"/>
      <w:r w:rsidRPr="008C6609">
        <w:rPr>
          <w:rFonts w:ascii="Times New Roman" w:hAnsi="Times New Roman" w:cs="Times New Roman"/>
          <w:lang w:val="ru-RU"/>
        </w:rPr>
        <w:t xml:space="preserve"> Василя </w:t>
      </w:r>
      <w:proofErr w:type="spellStart"/>
      <w:r w:rsidRPr="008C6609">
        <w:rPr>
          <w:rFonts w:ascii="Times New Roman" w:hAnsi="Times New Roman" w:cs="Times New Roman"/>
          <w:lang w:val="ru-RU"/>
        </w:rPr>
        <w:t>Стефаника</w:t>
      </w:r>
      <w:proofErr w:type="spellEnd"/>
      <w:r w:rsidRPr="008C6609">
        <w:rPr>
          <w:rFonts w:ascii="Times New Roman" w:hAnsi="Times New Roman" w:cs="Times New Roman"/>
          <w:lang w:val="ru-RU"/>
        </w:rPr>
        <w:t>»</w:t>
      </w:r>
    </w:p>
    <w:p w:rsidR="00CD0D5B" w:rsidRPr="008C6609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  <w:bCs/>
          <w:lang w:val="ru-RU"/>
        </w:rPr>
      </w:pPr>
      <w:r w:rsidRPr="008C6609">
        <w:rPr>
          <w:rFonts w:ascii="Times New Roman" w:hAnsi="Times New Roman" w:cs="Times New Roman"/>
          <w:bCs/>
          <w:lang w:val="ru-RU"/>
        </w:rPr>
        <w:t>(протокол №</w:t>
      </w:r>
      <w:proofErr w:type="gramStart"/>
      <w:r w:rsidRPr="00CD0D5B">
        <w:rPr>
          <w:rFonts w:ascii="Times New Roman" w:hAnsi="Times New Roman" w:cs="Times New Roman"/>
          <w:bCs/>
          <w:lang w:val="uk-UA"/>
        </w:rPr>
        <w:t xml:space="preserve">10 </w:t>
      </w:r>
      <w:r w:rsidRPr="008C6609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8C6609">
        <w:rPr>
          <w:rFonts w:ascii="Times New Roman" w:hAnsi="Times New Roman" w:cs="Times New Roman"/>
          <w:bCs/>
          <w:lang w:val="ru-RU"/>
        </w:rPr>
        <w:t>від</w:t>
      </w:r>
      <w:proofErr w:type="spellEnd"/>
      <w:proofErr w:type="gramEnd"/>
      <w:r w:rsidRPr="008C6609">
        <w:rPr>
          <w:rFonts w:ascii="Times New Roman" w:hAnsi="Times New Roman" w:cs="Times New Roman"/>
          <w:bCs/>
          <w:lang w:val="ru-RU"/>
        </w:rPr>
        <w:t xml:space="preserve"> 21 листопада 2014 р.)</w:t>
      </w:r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  <w:bCs/>
        </w:rPr>
      </w:pPr>
      <w:proofErr w:type="spellStart"/>
      <w:r w:rsidRPr="00CD0D5B">
        <w:rPr>
          <w:rFonts w:ascii="Times New Roman" w:hAnsi="Times New Roman" w:cs="Times New Roman"/>
          <w:bCs/>
        </w:rPr>
        <w:t>Введено</w:t>
      </w:r>
      <w:proofErr w:type="spellEnd"/>
      <w:r w:rsidRPr="00CD0D5B">
        <w:rPr>
          <w:rFonts w:ascii="Times New Roman" w:hAnsi="Times New Roman" w:cs="Times New Roman"/>
          <w:bCs/>
        </w:rPr>
        <w:t xml:space="preserve"> в </w:t>
      </w:r>
      <w:proofErr w:type="spellStart"/>
      <w:r w:rsidRPr="00CD0D5B">
        <w:rPr>
          <w:rFonts w:ascii="Times New Roman" w:hAnsi="Times New Roman" w:cs="Times New Roman"/>
          <w:bCs/>
        </w:rPr>
        <w:t>дію</w:t>
      </w:r>
      <w:proofErr w:type="spellEnd"/>
      <w:r w:rsidRPr="00CD0D5B">
        <w:rPr>
          <w:rFonts w:ascii="Times New Roman" w:hAnsi="Times New Roman" w:cs="Times New Roman"/>
          <w:bCs/>
        </w:rPr>
        <w:t xml:space="preserve"> </w:t>
      </w:r>
      <w:proofErr w:type="spellStart"/>
      <w:r w:rsidRPr="00CD0D5B">
        <w:rPr>
          <w:rFonts w:ascii="Times New Roman" w:hAnsi="Times New Roman" w:cs="Times New Roman"/>
          <w:bCs/>
        </w:rPr>
        <w:t>наказом</w:t>
      </w:r>
      <w:proofErr w:type="spellEnd"/>
      <w:r w:rsidRPr="00CD0D5B">
        <w:rPr>
          <w:rFonts w:ascii="Times New Roman" w:hAnsi="Times New Roman" w:cs="Times New Roman"/>
          <w:bCs/>
        </w:rPr>
        <w:t xml:space="preserve"> </w:t>
      </w:r>
      <w:proofErr w:type="spellStart"/>
      <w:r w:rsidRPr="00CD0D5B">
        <w:rPr>
          <w:rFonts w:ascii="Times New Roman" w:hAnsi="Times New Roman" w:cs="Times New Roman"/>
          <w:bCs/>
        </w:rPr>
        <w:t>ректора</w:t>
      </w:r>
      <w:proofErr w:type="spellEnd"/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proofErr w:type="spellStart"/>
      <w:proofErr w:type="gramStart"/>
      <w:r w:rsidRPr="00CD0D5B">
        <w:rPr>
          <w:rFonts w:ascii="Times New Roman" w:hAnsi="Times New Roman" w:cs="Times New Roman"/>
        </w:rPr>
        <w:t>державного</w:t>
      </w:r>
      <w:proofErr w:type="spellEnd"/>
      <w:proofErr w:type="gram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вищого</w:t>
      </w:r>
      <w:proofErr w:type="spell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навчального</w:t>
      </w:r>
      <w:proofErr w:type="spell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закладу</w:t>
      </w:r>
      <w:proofErr w:type="spellEnd"/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r w:rsidRPr="00CD0D5B">
        <w:rPr>
          <w:rFonts w:ascii="Times New Roman" w:hAnsi="Times New Roman" w:cs="Times New Roman"/>
        </w:rPr>
        <w:t>«</w:t>
      </w:r>
      <w:proofErr w:type="spellStart"/>
      <w:r w:rsidRPr="00CD0D5B">
        <w:rPr>
          <w:rFonts w:ascii="Times New Roman" w:hAnsi="Times New Roman" w:cs="Times New Roman"/>
        </w:rPr>
        <w:t>Прикарпа</w:t>
      </w:r>
      <w:r w:rsidR="00C51612">
        <w:rPr>
          <w:rFonts w:ascii="Times New Roman" w:hAnsi="Times New Roman" w:cs="Times New Roman"/>
        </w:rPr>
        <w:t>тський</w:t>
      </w:r>
      <w:proofErr w:type="spellEnd"/>
      <w:r w:rsidR="00C51612">
        <w:rPr>
          <w:rFonts w:ascii="Times New Roman" w:hAnsi="Times New Roman" w:cs="Times New Roman"/>
        </w:rPr>
        <w:t xml:space="preserve"> </w:t>
      </w:r>
      <w:proofErr w:type="spellStart"/>
      <w:r w:rsidR="00C51612">
        <w:rPr>
          <w:rFonts w:ascii="Times New Roman" w:hAnsi="Times New Roman" w:cs="Times New Roman"/>
        </w:rPr>
        <w:t>національний</w:t>
      </w:r>
      <w:proofErr w:type="spellEnd"/>
      <w:r w:rsidR="00C51612">
        <w:rPr>
          <w:rFonts w:ascii="Times New Roman" w:hAnsi="Times New Roman" w:cs="Times New Roman"/>
        </w:rPr>
        <w:t xml:space="preserve"> </w:t>
      </w:r>
      <w:proofErr w:type="spellStart"/>
      <w:r w:rsidR="00C51612">
        <w:rPr>
          <w:rFonts w:ascii="Times New Roman" w:hAnsi="Times New Roman" w:cs="Times New Roman"/>
        </w:rPr>
        <w:t>університет</w:t>
      </w:r>
      <w:proofErr w:type="spellEnd"/>
    </w:p>
    <w:p w:rsid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proofErr w:type="spellStart"/>
      <w:proofErr w:type="gramStart"/>
      <w:r w:rsidRPr="00CD0D5B">
        <w:rPr>
          <w:rFonts w:ascii="Times New Roman" w:hAnsi="Times New Roman" w:cs="Times New Roman"/>
        </w:rPr>
        <w:t>імені</w:t>
      </w:r>
      <w:proofErr w:type="spellEnd"/>
      <w:proofErr w:type="gram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Василя</w:t>
      </w:r>
      <w:proofErr w:type="spellEnd"/>
      <w:r w:rsidRPr="00CD0D5B">
        <w:rPr>
          <w:rFonts w:ascii="Times New Roman" w:hAnsi="Times New Roman" w:cs="Times New Roman"/>
        </w:rPr>
        <w:t xml:space="preserve"> </w:t>
      </w:r>
      <w:proofErr w:type="spellStart"/>
      <w:r w:rsidRPr="00CD0D5B">
        <w:rPr>
          <w:rFonts w:ascii="Times New Roman" w:hAnsi="Times New Roman" w:cs="Times New Roman"/>
        </w:rPr>
        <w:t>Стефаника</w:t>
      </w:r>
      <w:proofErr w:type="spellEnd"/>
      <w:r w:rsidRPr="00CD0D5B">
        <w:rPr>
          <w:rFonts w:ascii="Times New Roman" w:hAnsi="Times New Roman" w:cs="Times New Roman"/>
        </w:rPr>
        <w:t>»</w:t>
      </w:r>
    </w:p>
    <w:p w:rsidR="00CD0D5B" w:rsidRPr="00C51612" w:rsidRDefault="00CD0D5B" w:rsidP="00C51612">
      <w:pPr>
        <w:tabs>
          <w:tab w:val="left" w:pos="142"/>
        </w:tabs>
        <w:ind w:left="5103"/>
        <w:rPr>
          <w:rFonts w:ascii="Times New Roman" w:hAnsi="Times New Roman" w:cs="Times New Roman"/>
        </w:rPr>
      </w:pPr>
      <w:r w:rsidRPr="00CD0D5B">
        <w:rPr>
          <w:rFonts w:ascii="Times New Roman" w:hAnsi="Times New Roman" w:cs="Times New Roman"/>
          <w:bCs/>
          <w:lang w:val="uk-UA"/>
        </w:rPr>
        <w:t>(№756 від 1 грудня 2014</w:t>
      </w:r>
      <w:r w:rsidR="00D93581">
        <w:rPr>
          <w:rFonts w:ascii="Times New Roman" w:hAnsi="Times New Roman" w:cs="Times New Roman"/>
          <w:bCs/>
          <w:lang w:val="uk-UA"/>
        </w:rPr>
        <w:t xml:space="preserve"> р.)</w:t>
      </w:r>
    </w:p>
    <w:p w:rsidR="00CD0D5B" w:rsidRPr="00CD0D5B" w:rsidRDefault="00CD0D5B" w:rsidP="00CD0D5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0D5B" w:rsidRPr="00CD0D5B" w:rsidRDefault="00CD0D5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1570A" w:rsidRPr="00CD0D5B" w:rsidRDefault="0011570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11570A" w:rsidRPr="00CD0D5B" w:rsidRDefault="0011570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рейтингове оцінювання </w:t>
      </w:r>
      <w:r w:rsidR="00933E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здобувачів вищої освіти</w:t>
      </w:r>
    </w:p>
    <w:p w:rsidR="0011570A" w:rsidRPr="00CD0D5B" w:rsidRDefault="0011570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Державному вищому навчальному закладі </w:t>
      </w:r>
    </w:p>
    <w:p w:rsidR="0011570A" w:rsidRPr="00CD0D5B" w:rsidRDefault="0011570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11570A" w:rsidRPr="00CD0D5B" w:rsidRDefault="0011570A">
      <w:pPr>
        <w:shd w:val="clear" w:color="auto" w:fill="FFFFFF"/>
        <w:ind w:left="720" w:hanging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b/>
          <w:bCs/>
          <w:sz w:val="28"/>
          <w:szCs w:val="28"/>
          <w:lang w:val="uk-UA"/>
        </w:rPr>
        <w:t>I. Загальні положення</w:t>
      </w:r>
      <w:r w:rsidR="00CD0D5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11570A" w:rsidRPr="00CD0D5B" w:rsidRDefault="00CD0D5B" w:rsidP="00933E45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>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рейтингове оцінювання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E45">
        <w:rPr>
          <w:rFonts w:ascii="Times New Roman" w:hAnsi="Times New Roman" w:cs="Times New Roman"/>
          <w:sz w:val="28"/>
          <w:szCs w:val="28"/>
          <w:lang w:val="uk-UA"/>
        </w:rPr>
        <w:t>знань здобувачів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вищому навчальному закладі «Прикарпатський національний університет імені Василя Стефаника» розроблене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Закону України</w:t>
      </w:r>
      <w:r w:rsidR="00933E45">
        <w:rPr>
          <w:rFonts w:ascii="Times New Roman" w:hAnsi="Times New Roman" w:cs="Times New Roman"/>
          <w:sz w:val="28"/>
          <w:szCs w:val="28"/>
          <w:lang w:val="uk-UA"/>
        </w:rPr>
        <w:t xml:space="preserve"> «Про вищу освіту» 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(№ 1556-VII), </w:t>
      </w:r>
      <w:r>
        <w:rPr>
          <w:rFonts w:ascii="Times New Roman" w:hAnsi="Times New Roman" w:cs="Times New Roman"/>
          <w:sz w:val="28"/>
          <w:szCs w:val="28"/>
          <w:lang w:val="uk-UA"/>
        </w:rPr>
        <w:t>Статуту ДВНЗ «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</w:t>
      </w:r>
      <w:r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Стефаника»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, Положення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Івано-Франківський коледж ДВНЗ «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</w:t>
      </w:r>
      <w:r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Стефаника»</w:t>
      </w:r>
      <w:r w:rsidR="0011570A" w:rsidRPr="00CD0D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2. Основна мета запровадження рейтингового оцінювання знань студентів – складання рейтингу, який буде основою при нараху</w:t>
      </w:r>
      <w:r w:rsidR="00CD0D5B">
        <w:rPr>
          <w:rFonts w:ascii="Times New Roman" w:hAnsi="Times New Roman" w:cs="Times New Roman"/>
          <w:sz w:val="28"/>
          <w:szCs w:val="28"/>
          <w:lang w:val="uk-UA"/>
        </w:rPr>
        <w:t>ванні стипендій студентам, які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навчаються за денною формою навчання за рахунок коштів державного </w:t>
      </w:r>
      <w:r w:rsidR="00CD0D5B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b/>
          <w:bCs/>
          <w:sz w:val="28"/>
          <w:szCs w:val="28"/>
          <w:lang w:val="uk-UA"/>
        </w:rPr>
        <w:t>II. Визначенн</w:t>
      </w:r>
      <w:r w:rsidR="00CD0D5B">
        <w:rPr>
          <w:rFonts w:ascii="Times New Roman" w:hAnsi="Times New Roman" w:cs="Times New Roman"/>
          <w:b/>
          <w:bCs/>
          <w:sz w:val="28"/>
          <w:szCs w:val="28"/>
          <w:lang w:val="uk-UA"/>
        </w:rPr>
        <w:t>я навчального рейтингу студента.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1. Рейтинг студента – це його порядкова позиція серед студентів даного курсу відповідного напряму (спеціальності), визначена після закінчення семестру на підставі його рейтингової оцінки.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2. Рейтингова оцінка студента обчислюється на основі оцінок, отриманих студентом під час останньої заліково-екзаменаційної сесії (без врахування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оцінок, отриман</w:t>
      </w:r>
      <w:r w:rsidR="00CD0D5B">
        <w:rPr>
          <w:rFonts w:ascii="Times New Roman" w:hAnsi="Times New Roman" w:cs="Times New Roman"/>
          <w:sz w:val="28"/>
          <w:szCs w:val="28"/>
          <w:lang w:val="uk-UA"/>
        </w:rPr>
        <w:t>их при перездачі за талонами № 2 та № 3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), за формулою (з точністю до сотих, а в разі потреби і до тисячних)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1512" w:dyaOrig="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0pt" o:ole="" filled="t">
            <v:fill color2="black"/>
            <v:imagedata r:id="rId5" o:title=""/>
          </v:shape>
          <o:OLEObject Type="Embed" ProgID="Equation.3" ShapeID="_x0000_i1025" DrawAspect="Content" ObjectID="_1635264710" r:id="rId6"/>
        </w:objec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де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064" w:dyaOrig="604">
          <v:shape id="_x0000_i1026" type="#_x0000_t75" style="width:103.5pt;height:30pt" o:ole="" filled="t">
            <v:fill color2="black"/>
            <v:imagedata r:id="rId7" o:title=""/>
          </v:shape>
          <o:OLEObject Type="Embed" ProgID="Equation.3" ShapeID="_x0000_i1026" DrawAspect="Content" ObjectID="_1635264711" r:id="rId8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середнє арифметичне екзаменаційних оцінок,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049" w:dyaOrig="604">
          <v:shape id="_x0000_i1027" type="#_x0000_t75" style="width:102.75pt;height:30pt" o:ole="" filled="t">
            <v:fill color2="black"/>
            <v:imagedata r:id="rId9" o:title=""/>
          </v:shape>
          <o:OLEObject Type="Embed" ProgID="Equation.3" ShapeID="_x0000_i1027" DrawAspect="Content" ObjectID="_1635264712" r:id="rId10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середнє арифметичне залікових оцінок,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39" w:dyaOrig="266">
          <v:shape id="_x0000_i1028" type="#_x0000_t75" style="width:12pt;height:13.5pt" o:ole="" filled="t">
            <v:fill color2="black"/>
            <v:imagedata r:id="rId11" o:title=""/>
          </v:shape>
          <o:OLEObject Type="Embed" ProgID="Equation.3" ShapeID="_x0000_i1028" DrawAspect="Content" ObjectID="_1635264713" r:id="rId12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кількість дисциплін у семестрі з підсумковою формою контролю екзамен,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293" w:dyaOrig="266">
          <v:shape id="_x0000_i1029" type="#_x0000_t75" style="width:14.25pt;height:13.5pt" o:ole="" filled="t">
            <v:fill color2="black"/>
            <v:imagedata r:id="rId13" o:title=""/>
          </v:shape>
          <o:OLEObject Type="Embed" ProgID="Equation.3" ShapeID="_x0000_i1029" DrawAspect="Content" ObjectID="_1635264714" r:id="rId14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кількість дисциплін у семестрі з підсумковою формою контролю залік,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327" w:dyaOrig="302">
          <v:shape id="_x0000_i1030" type="#_x0000_t75" style="width:16.5pt;height:15pt" o:ole="" filled="t">
            <v:fill color2="black"/>
            <v:imagedata r:id="rId15" o:title=""/>
          </v:shape>
          <o:OLEObject Type="Embed" ProgID="Equation.3" ShapeID="_x0000_i1030" DrawAspect="Content" ObjectID="_1635264715" r:id="rId16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оцінка у 100 бальній шкалі за </w: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>i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-ту дисципліну з підсумковою формою контролю екзамен,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</w:rPr>
        <w:object w:dxaOrig="314" w:dyaOrig="302">
          <v:shape id="_x0000_i1031" type="#_x0000_t75" style="width:15.75pt;height:15pt" o:ole="" filled="t">
            <v:fill color2="black"/>
            <v:imagedata r:id="rId17" o:title=""/>
          </v:shape>
          <o:OLEObject Type="Embed" ProgID="Equation.3" ShapeID="_x0000_i1031" DrawAspect="Content" ObjectID="_1635264716" r:id="rId18"/>
        </w:objec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оцінка у 100 бальній шкалі за </w: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>i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-ту дисципліну з підсумковою формою контролю залік.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3. Оцінки за курсові роботи вважаються екзаменаційними оцінками, а оцінки за всі види практик </w:t>
      </w:r>
      <w:r w:rsidRPr="00CD0D5B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 заліковими оцінками.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4. Залікові оцінки з предмету “Фізичне виховання” при обчисленні рейтингової оцінки студента не враховуються.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5. При обчисленні рейтингової оцінки студента Івано-Франківського коледжу ДВНЗ «Прикарпатський національний університет імені Василя Стефаника» враховуються: 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а) з циклу загальноосвітніх дисциплін – підсумкові семестрові оцінки та оцінки, отримані за результатами державної підсумкової атестації, що обчислюються як середнє арифметичне тематичних оцінювань (з точністю до сотих, а в разі потреби і до тисячних), які переводяться в 100-бальн</w:t>
      </w:r>
      <w:r w:rsidR="00BA01CB">
        <w:rPr>
          <w:rFonts w:ascii="Times New Roman" w:hAnsi="Times New Roman" w:cs="Times New Roman"/>
          <w:sz w:val="28"/>
          <w:szCs w:val="28"/>
          <w:lang w:val="uk-UA"/>
        </w:rPr>
        <w:t>у університетську шкалу згідно Д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одатк</w:t>
      </w:r>
      <w:r w:rsidR="00BA01C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 xml:space="preserve">1 і вважаються: семестрові – заліковими оцінками, оцінки за ДПА – екзаменаційними оцінками; 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б) з інших дисциплін – оцінки, отримані студентом під час останньої заліково-екзаменаційної сесії, переведені в 100-бальн</w:t>
      </w:r>
      <w:r w:rsidR="00BA01CB">
        <w:rPr>
          <w:rFonts w:ascii="Times New Roman" w:hAnsi="Times New Roman" w:cs="Times New Roman"/>
          <w:sz w:val="28"/>
          <w:szCs w:val="28"/>
          <w:lang w:val="uk-UA"/>
        </w:rPr>
        <w:t xml:space="preserve">у університетську шкалу </w:t>
      </w:r>
      <w:r w:rsidR="00BA01CB">
        <w:rPr>
          <w:rFonts w:ascii="Times New Roman" w:hAnsi="Times New Roman" w:cs="Times New Roman"/>
          <w:sz w:val="28"/>
          <w:szCs w:val="28"/>
          <w:lang w:val="uk-UA"/>
        </w:rPr>
        <w:lastRenderedPageBreak/>
        <w:t>згідно Д</w:t>
      </w:r>
      <w:r w:rsidRPr="00CD0D5B">
        <w:rPr>
          <w:rFonts w:ascii="Times New Roman" w:hAnsi="Times New Roman" w:cs="Times New Roman"/>
          <w:sz w:val="28"/>
          <w:szCs w:val="28"/>
          <w:lang w:val="uk-UA"/>
        </w:rPr>
        <w:t>одатку 1.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>6. За умови набору однакової кількості балів у декількох студентів, пріоритет надається тому студенту, який виконує один чи кілька з перелічених критеріїв (порядок пріоритетності вказаний нижче):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а) отримання студентом призових місць на всеукраїнських та/або міжнародних олімпіадах та/або конкурсах студентських наукових робіт тощо;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б) участь студента у другому турі всеукраїнських олімпіад та/або конкурсів студентських наукових робіт  тощо;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в) отримання студентом призових місць на всеукраїнських та/або міжнародних спортивних змаганнях, творчих та/або мистецьких конкурсах, отримання звання кандидата в майстри спорту, звання майстра спорту тощо;</w:t>
      </w:r>
    </w:p>
    <w:p w:rsidR="0011570A" w:rsidRPr="00CD0D5B" w:rsidRDefault="0011570A">
      <w:pPr>
        <w:shd w:val="clear" w:color="auto" w:fill="FFFFFF"/>
        <w:tabs>
          <w:tab w:val="left" w:pos="302"/>
          <w:tab w:val="left" w:pos="993"/>
        </w:tabs>
        <w:spacing w:line="360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D5B">
        <w:rPr>
          <w:rFonts w:ascii="Times New Roman" w:hAnsi="Times New Roman" w:cs="Times New Roman"/>
          <w:sz w:val="28"/>
          <w:szCs w:val="28"/>
          <w:lang w:val="uk-UA"/>
        </w:rPr>
        <w:tab/>
        <w:t>г) виконання студентом громадських доручень дирекції інституту, деканату факультету (староста, профорг, сенатор тощо), участь у волонтерській діяльності тощо.</w:t>
      </w:r>
    </w:p>
    <w:p w:rsidR="004F5F4D" w:rsidRDefault="004F5F4D">
      <w:pPr>
        <w:widowControl/>
        <w:suppressAutoHyphens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1570A" w:rsidRPr="00BA01CB" w:rsidRDefault="0011570A" w:rsidP="004F5F4D">
      <w:pPr>
        <w:shd w:val="clear" w:color="auto" w:fill="FFFFFF"/>
        <w:tabs>
          <w:tab w:val="left" w:pos="6992"/>
          <w:tab w:val="left" w:pos="7683"/>
        </w:tabs>
        <w:suppressAutoHyphens w:val="0"/>
        <w:spacing w:line="228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4F5F4D" w:rsidRDefault="0011570A" w:rsidP="004F5F4D">
      <w:pPr>
        <w:shd w:val="clear" w:color="auto" w:fill="FFFFFF"/>
        <w:tabs>
          <w:tab w:val="left" w:pos="302"/>
          <w:tab w:val="left" w:pos="993"/>
        </w:tabs>
        <w:suppressAutoHyphens w:val="0"/>
        <w:spacing w:line="228" w:lineRule="auto"/>
        <w:ind w:right="-1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t>Таблиця</w:t>
      </w:r>
    </w:p>
    <w:p w:rsidR="004F5F4D" w:rsidRDefault="0011570A" w:rsidP="004F5F4D">
      <w:pPr>
        <w:shd w:val="clear" w:color="auto" w:fill="FFFFFF"/>
        <w:tabs>
          <w:tab w:val="left" w:pos="302"/>
          <w:tab w:val="left" w:pos="993"/>
        </w:tabs>
        <w:suppressAutoHyphens w:val="0"/>
        <w:spacing w:line="228" w:lineRule="auto"/>
        <w:ind w:right="-1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t>відповідності університетської 100-бальної</w:t>
      </w:r>
    </w:p>
    <w:p w:rsidR="0011570A" w:rsidRPr="00BA01CB" w:rsidRDefault="0011570A" w:rsidP="004F5F4D">
      <w:pPr>
        <w:shd w:val="clear" w:color="auto" w:fill="FFFFFF"/>
        <w:tabs>
          <w:tab w:val="left" w:pos="302"/>
          <w:tab w:val="left" w:pos="993"/>
        </w:tabs>
        <w:suppressAutoHyphens w:val="0"/>
        <w:spacing w:line="228" w:lineRule="auto"/>
        <w:ind w:right="-1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01CB">
        <w:rPr>
          <w:rFonts w:ascii="Times New Roman" w:hAnsi="Times New Roman" w:cs="Times New Roman"/>
          <w:sz w:val="28"/>
          <w:szCs w:val="28"/>
          <w:lang w:val="uk-UA"/>
        </w:rPr>
        <w:t>та національних 5-бальної і 12-бальної шкал оцінювання</w:t>
      </w:r>
    </w:p>
    <w:tbl>
      <w:tblPr>
        <w:tblW w:w="1105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701"/>
        <w:gridCol w:w="2126"/>
        <w:gridCol w:w="1701"/>
        <w:gridCol w:w="1701"/>
      </w:tblGrid>
      <w:tr w:rsidR="00BA01CB" w:rsidRPr="00BA01CB" w:rsidTr="00BA01CB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A01CB" w:rsidRDefault="0011570A" w:rsidP="00BA01CB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Університетська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100-бальна</w:t>
            </w:r>
          </w:p>
          <w:p w:rsidR="0011570A" w:rsidRPr="00BA01CB" w:rsidRDefault="0011570A" w:rsidP="00BA01CB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11570A" w:rsidRPr="00BA01CB" w:rsidRDefault="0011570A" w:rsidP="00BA01CB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Національна 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5-бальна 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11570A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Національна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12-бальна шкала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A01CB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Університетська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100-бальна</w:t>
            </w:r>
          </w:p>
          <w:p w:rsidR="0011570A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 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A01CB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Національна 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5-бальна</w:t>
            </w:r>
          </w:p>
          <w:p w:rsidR="0011570A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 xml:space="preserve"> шкала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1570A" w:rsidRPr="00BA01CB" w:rsidRDefault="0011570A">
            <w:pP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BA01CB">
              <w:rPr>
                <w:rFonts w:ascii="Times New Roman" w:hAnsi="Times New Roman" w:cs="Times New Roman"/>
                <w:lang w:val="uk-UA"/>
              </w:rPr>
              <w:t>Національна</w:t>
            </w:r>
            <w:r w:rsidRPr="00BA01CB">
              <w:rPr>
                <w:rFonts w:ascii="Times New Roman" w:hAnsi="Times New Roman" w:cs="Times New Roman"/>
                <w:lang w:val="uk-UA"/>
              </w:rPr>
              <w:br/>
              <w:t>12-бальна шкала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widowControl/>
              <w:suppressAutoHyphens w:val="0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12,00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3,50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3,45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3,39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3,33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3,27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3,20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3,14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3,02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2,96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2,90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2,84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2,77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2,65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2,59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2,53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2,47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2,41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2,34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2,22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2,16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2,10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widowControl/>
              <w:suppressAutoHyphens w:val="0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2,04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widowControl/>
              <w:suppressAutoHyphens w:val="0"/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1,85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1,79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1,73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1,67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1,48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1,36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1,30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1,24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1,18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1,11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1,05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0,99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0,93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0,87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0,81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0,75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0,68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0,62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0,56</w:t>
            </w:r>
          </w:p>
        </w:tc>
      </w:tr>
      <w:tr w:rsidR="00BA01CB" w:rsidRPr="00BA01CB" w:rsidTr="00BA01C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3,66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1570A" w:rsidRPr="00BA01CB" w:rsidRDefault="0011570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CB">
              <w:rPr>
                <w:rFonts w:ascii="Times New Roman" w:hAnsi="Times New Roman" w:cs="Times New Roman"/>
                <w:bCs/>
                <w:sz w:val="28"/>
                <w:szCs w:val="28"/>
              </w:rPr>
              <w:t>0,50</w:t>
            </w:r>
          </w:p>
        </w:tc>
      </w:tr>
    </w:tbl>
    <w:p w:rsidR="0011570A" w:rsidRPr="00BA01CB" w:rsidRDefault="0011570A">
      <w:pPr>
        <w:shd w:val="clear" w:color="auto" w:fill="FFFFFF"/>
        <w:tabs>
          <w:tab w:val="left" w:pos="302"/>
          <w:tab w:val="left" w:pos="993"/>
        </w:tabs>
        <w:spacing w:line="228" w:lineRule="auto"/>
        <w:ind w:right="-16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570A" w:rsidRPr="00BA01CB">
      <w:pgSz w:w="11906" w:h="16838"/>
      <w:pgMar w:top="838" w:right="1134" w:bottom="812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5B"/>
    <w:rsid w:val="0011570A"/>
    <w:rsid w:val="004C76FA"/>
    <w:rsid w:val="004F5F4D"/>
    <w:rsid w:val="008C6609"/>
    <w:rsid w:val="00933E45"/>
    <w:rsid w:val="00BA01CB"/>
    <w:rsid w:val="00C51612"/>
    <w:rsid w:val="00CD0D5B"/>
    <w:rsid w:val="00D9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04A08F6-ED1F-4ED7-B433-8ADD7E0B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4">
    <w:name w:val="heading 4"/>
    <w:basedOn w:val="a"/>
    <w:next w:val="a"/>
    <w:link w:val="40"/>
    <w:qFormat/>
    <w:rsid w:val="00CD0D5B"/>
    <w:pPr>
      <w:keepNext/>
      <w:numPr>
        <w:ilvl w:val="3"/>
        <w:numId w:val="1"/>
      </w:numPr>
      <w:suppressAutoHyphens w:val="0"/>
      <w:ind w:left="0" w:firstLine="560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List Paragraph"/>
    <w:basedOn w:val="a"/>
    <w:qFormat/>
    <w:pPr>
      <w:spacing w:after="200"/>
      <w:ind w:left="720"/>
      <w:contextualSpacing/>
    </w:pPr>
  </w:style>
  <w:style w:type="paragraph" w:customStyle="1" w:styleId="TableContents">
    <w:name w:val="Table Contents"/>
    <w:basedOn w:val="a"/>
    <w:pPr>
      <w:suppressLineNumbers/>
    </w:pPr>
  </w:style>
  <w:style w:type="character" w:customStyle="1" w:styleId="40">
    <w:name w:val="Заголовок 4 Знак"/>
    <w:link w:val="4"/>
    <w:rsid w:val="00CD0D5B"/>
    <w:rPr>
      <w:rFonts w:ascii="Liberation Serif" w:eastAsia="Droid Sans Fallback" w:hAnsi="Liberation Serif" w:cs="FreeSans"/>
      <w:b/>
      <w:bCs/>
      <w:i/>
      <w:iCs/>
      <w:kern w:val="1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BA01C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link w:val="a7"/>
    <w:uiPriority w:val="99"/>
    <w:semiHidden/>
    <w:rsid w:val="00BA01CB"/>
    <w:rPr>
      <w:rFonts w:ascii="Tahoma" w:eastAsia="Droid Sans Fallback" w:hAnsi="Tahoma" w:cs="Mangal"/>
      <w:kern w:val="1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PU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</dc:creator>
  <cp:lastModifiedBy>1</cp:lastModifiedBy>
  <cp:revision>2</cp:revision>
  <cp:lastPrinted>2019-11-14T17:24:00Z</cp:lastPrinted>
  <dcterms:created xsi:type="dcterms:W3CDTF">2019-11-14T17:25:00Z</dcterms:created>
  <dcterms:modified xsi:type="dcterms:W3CDTF">2019-11-14T17:25:00Z</dcterms:modified>
</cp:coreProperties>
</file>