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1A1C9C">
        <w:rPr>
          <w:sz w:val="28"/>
          <w:szCs w:val="28"/>
          <w:lang w:val="uk-UA"/>
        </w:rPr>
        <w:t>історії, політології і міжнародних відносин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всесвітньої історії</w:t>
      </w: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E909AB" w:rsidP="001A1C9C">
      <w:pPr>
        <w:jc w:val="center"/>
        <w:rPr>
          <w:b/>
          <w:sz w:val="28"/>
          <w:szCs w:val="28"/>
          <w:u w:val="single"/>
          <w:lang w:val="uk-UA"/>
        </w:rPr>
      </w:pPr>
      <w:r w:rsidRPr="009B354E">
        <w:rPr>
          <w:b/>
          <w:lang w:val="uk-UA"/>
        </w:rPr>
        <w:t xml:space="preserve">Україна в зарубіжних </w:t>
      </w:r>
      <w:proofErr w:type="spellStart"/>
      <w:r>
        <w:rPr>
          <w:b/>
        </w:rPr>
        <w:t>політичних</w:t>
      </w:r>
      <w:proofErr w:type="spellEnd"/>
      <w:r>
        <w:rPr>
          <w:b/>
        </w:rPr>
        <w:t xml:space="preserve"> </w:t>
      </w:r>
      <w:r w:rsidRPr="009B354E">
        <w:rPr>
          <w:b/>
          <w:lang w:val="uk-UA"/>
        </w:rPr>
        <w:t xml:space="preserve">доктринах і стратегіях ХХ </w:t>
      </w:r>
      <w:r>
        <w:rPr>
          <w:b/>
        </w:rPr>
        <w:t xml:space="preserve">–ХХІ </w:t>
      </w:r>
      <w:r w:rsidRPr="009B354E">
        <w:rPr>
          <w:b/>
          <w:lang w:val="uk-UA"/>
        </w:rPr>
        <w:t>ст</w:t>
      </w:r>
      <w:r>
        <w:rPr>
          <w:lang w:val="uk-UA"/>
        </w:rPr>
        <w:t>.</w:t>
      </w:r>
    </w:p>
    <w:p w:rsidR="001A1C9C" w:rsidRDefault="001A1C9C" w:rsidP="001A1C9C">
      <w:pPr>
        <w:jc w:val="center"/>
        <w:rPr>
          <w:b/>
          <w:sz w:val="28"/>
          <w:szCs w:val="28"/>
          <w:u w:val="single"/>
          <w:lang w:val="uk-UA"/>
        </w:rPr>
      </w:pPr>
    </w:p>
    <w:p w:rsidR="001A1C9C" w:rsidRPr="001A1C9C" w:rsidRDefault="001A1C9C" w:rsidP="001A1C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1A1C9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1A1C9C">
        <w:rPr>
          <w:lang w:val="uk-UA"/>
        </w:rPr>
        <w:t>Історія та археологія</w:t>
      </w: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</w:t>
      </w:r>
      <w:r w:rsidRPr="001A1C9C">
        <w:rPr>
          <w:lang w:val="uk-UA"/>
        </w:rPr>
        <w:t>032 Історія та археологія</w:t>
      </w: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 w:rsidRPr="007E7E61">
        <w:rPr>
          <w:lang w:val="uk-UA"/>
        </w:rPr>
        <w:t>03 Гуманітарні науки</w:t>
      </w: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  <w:r w:rsidR="007E7E61">
        <w:rPr>
          <w:sz w:val="28"/>
          <w:szCs w:val="28"/>
          <w:lang w:val="uk-UA"/>
        </w:rPr>
        <w:t xml:space="preserve"> всесвітньої історії</w:t>
      </w:r>
    </w:p>
    <w:p w:rsidR="001A1C9C" w:rsidRDefault="001A1C9C" w:rsidP="001A1C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sz w:val="28"/>
          <w:szCs w:val="28"/>
          <w:lang w:val="uk-UA"/>
        </w:rPr>
      </w:pPr>
    </w:p>
    <w:p w:rsidR="001A1C9C" w:rsidRPr="00BC32A7" w:rsidRDefault="001A1C9C" w:rsidP="001A1C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</w:p>
    <w:p w:rsidR="001A1C9C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A1C9C" w:rsidRDefault="001A1C9C" w:rsidP="001A1C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A1C9C" w:rsidRPr="00193CEB" w:rsidRDefault="001A1C9C" w:rsidP="001A1C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A1C9C" w:rsidRPr="00193CEB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A1C9C" w:rsidRPr="00151BC4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A1C9C" w:rsidRPr="00151BC4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A1C9C" w:rsidRPr="0084333C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1A1C9C" w:rsidRPr="0084333C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1A1C9C" w:rsidRPr="00151BC4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A1C9C" w:rsidRPr="00151BC4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A1C9C" w:rsidRPr="00151BC4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A1C9C" w:rsidRPr="00193CEB" w:rsidRDefault="001A1C9C" w:rsidP="001A1C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A1C9C" w:rsidRPr="00193CEB" w:rsidRDefault="001A1C9C" w:rsidP="001A1C9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p w:rsidR="001A1C9C" w:rsidRDefault="001A1C9C" w:rsidP="001A1C9C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771"/>
        <w:gridCol w:w="178"/>
        <w:gridCol w:w="1303"/>
        <w:gridCol w:w="794"/>
        <w:gridCol w:w="12"/>
        <w:gridCol w:w="1276"/>
        <w:gridCol w:w="58"/>
        <w:gridCol w:w="934"/>
        <w:gridCol w:w="1241"/>
      </w:tblGrid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5618" w:type="dxa"/>
            <w:gridSpan w:val="7"/>
          </w:tcPr>
          <w:p w:rsidR="001A1C9C" w:rsidRPr="00E909AB" w:rsidRDefault="00E909AB" w:rsidP="00E12789">
            <w:pPr>
              <w:jc w:val="both"/>
            </w:pPr>
            <w:r w:rsidRPr="00E909AB">
              <w:t>Україна в зарубіжних політичних доктринах і стратегіях ХХ –ХХІ ст.</w:t>
            </w: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071F79" w:rsidRDefault="001A1C9C" w:rsidP="00E12789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618" w:type="dxa"/>
            <w:gridSpan w:val="7"/>
          </w:tcPr>
          <w:p w:rsidR="001A1C9C" w:rsidRPr="00C67355" w:rsidRDefault="00E909AB" w:rsidP="00E12789">
            <w:pPr>
              <w:jc w:val="both"/>
            </w:pPr>
            <w:r>
              <w:rPr>
                <w:sz w:val="28"/>
                <w:szCs w:val="28"/>
              </w:rPr>
              <w:t>Другий (магістер</w:t>
            </w:r>
            <w:r w:rsidRPr="0071656F">
              <w:rPr>
                <w:sz w:val="28"/>
                <w:szCs w:val="28"/>
              </w:rPr>
              <w:t>ський) рівень</w:t>
            </w: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5618" w:type="dxa"/>
            <w:gridSpan w:val="7"/>
          </w:tcPr>
          <w:p w:rsidR="001A1C9C" w:rsidRPr="00C67355" w:rsidRDefault="00E909AB" w:rsidP="00E12789">
            <w:pPr>
              <w:jc w:val="both"/>
            </w:pPr>
            <w:proofErr w:type="spellStart"/>
            <w:r>
              <w:t>Щербін</w:t>
            </w:r>
            <w:proofErr w:type="spellEnd"/>
            <w:r>
              <w:t xml:space="preserve"> Л.В. </w:t>
            </w: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5618" w:type="dxa"/>
            <w:gridSpan w:val="7"/>
          </w:tcPr>
          <w:p w:rsidR="001A1C9C" w:rsidRPr="00C67355" w:rsidRDefault="001A1C9C" w:rsidP="00E12789">
            <w:pPr>
              <w:jc w:val="both"/>
            </w:pPr>
          </w:p>
        </w:tc>
      </w:tr>
      <w:tr w:rsidR="001A1C9C" w:rsidRPr="00E909AB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18" w:type="dxa"/>
            <w:gridSpan w:val="7"/>
          </w:tcPr>
          <w:p w:rsidR="00E909AB" w:rsidRPr="00E909AB" w:rsidRDefault="00E909AB" w:rsidP="00E909AB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bCs/>
                <w:spacing w:val="5"/>
              </w:rPr>
            </w:pPr>
            <w:r w:rsidRPr="00E909AB">
              <w:rPr>
                <w:bCs/>
                <w:spacing w:val="5"/>
              </w:rPr>
              <w:t>lilia.scherbin@pnu.edu.ua</w:t>
            </w:r>
          </w:p>
          <w:p w:rsidR="001A1C9C" w:rsidRPr="00C67355" w:rsidRDefault="001A1C9C" w:rsidP="00E12789">
            <w:pPr>
              <w:jc w:val="both"/>
            </w:pP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5618" w:type="dxa"/>
            <w:gridSpan w:val="7"/>
          </w:tcPr>
          <w:p w:rsidR="001A1C9C" w:rsidRPr="00E909AB" w:rsidRDefault="00CC5E9F" w:rsidP="00E12789">
            <w:pPr>
              <w:jc w:val="both"/>
            </w:pPr>
            <w:r>
              <w:t>очний/заочний</w:t>
            </w:r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5618" w:type="dxa"/>
            <w:gridSpan w:val="7"/>
          </w:tcPr>
          <w:p w:rsidR="001A1C9C" w:rsidRPr="00E909AB" w:rsidRDefault="00CC5E9F" w:rsidP="00E12789">
            <w:pPr>
              <w:jc w:val="both"/>
            </w:pPr>
            <w:r>
              <w:rPr>
                <w:sz w:val="28"/>
                <w:szCs w:val="28"/>
              </w:rPr>
              <w:t>90 год,</w:t>
            </w:r>
            <w:r w:rsidR="00E909AB" w:rsidRPr="0071656F">
              <w:rPr>
                <w:sz w:val="28"/>
                <w:szCs w:val="28"/>
              </w:rPr>
              <w:t xml:space="preserve"> кількість кредитів ECTS – 3</w:t>
            </w:r>
          </w:p>
        </w:tc>
      </w:tr>
      <w:tr w:rsidR="001A1C9C" w:rsidRPr="00D15DC1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5618" w:type="dxa"/>
            <w:gridSpan w:val="7"/>
          </w:tcPr>
          <w:p w:rsidR="001A1C9C" w:rsidRPr="00E909AB" w:rsidRDefault="00D15DC1" w:rsidP="00E12789">
            <w:pPr>
              <w:jc w:val="both"/>
            </w:pPr>
            <w:hyperlink r:id="rId6" w:history="1">
              <w:r w:rsidR="00E909AB" w:rsidRPr="0071656F">
                <w:rPr>
                  <w:rStyle w:val="a5"/>
                  <w:sz w:val="28"/>
                  <w:szCs w:val="28"/>
                </w:rPr>
                <w:t>http://www.d-learn.pu.if.ua/</w:t>
              </w:r>
            </w:hyperlink>
          </w:p>
        </w:tc>
      </w:tr>
      <w:tr w:rsidR="001A1C9C" w:rsidRPr="00C67355" w:rsidTr="00070521">
        <w:tc>
          <w:tcPr>
            <w:tcW w:w="3953" w:type="dxa"/>
            <w:gridSpan w:val="3"/>
          </w:tcPr>
          <w:p w:rsidR="001A1C9C" w:rsidRPr="00C67355" w:rsidRDefault="001A1C9C" w:rsidP="00E12789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5618" w:type="dxa"/>
            <w:gridSpan w:val="7"/>
          </w:tcPr>
          <w:p w:rsidR="001A1C9C" w:rsidRPr="00C67355" w:rsidRDefault="00E909AB" w:rsidP="00E12789">
            <w:pPr>
              <w:jc w:val="both"/>
            </w:pPr>
            <w:r w:rsidRPr="0071656F">
              <w:rPr>
                <w:sz w:val="28"/>
                <w:szCs w:val="28"/>
              </w:rPr>
              <w:t>середа, 14.00 год. – 16.00 год.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C5E9F" w:rsidRDefault="00CC5E9F" w:rsidP="00E12789">
            <w:pPr>
              <w:jc w:val="both"/>
            </w:pPr>
            <w:r w:rsidRPr="00CC5E9F">
              <w:t>Однією з умов становлення України як самостійної держави є її геополітичне самовизначення, вироблення концептуальних засад зовнішньополітичної стратегії, подолання дистанції від об’єкта до активного суб’єкта сучасних міжнародних відносин. З огляду на це актуальним є ретроспективний огляд місця та ролі України на міжнародній арені та у зарубіжних стратегіях у ХХ-ХХІ ст.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E909AB" w:rsidRPr="00E909AB" w:rsidRDefault="00E909AB" w:rsidP="00E909AB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909AB">
              <w:rPr>
                <w:b/>
              </w:rPr>
              <w:t>Мета</w:t>
            </w:r>
            <w:r w:rsidRPr="00E909AB">
              <w:t xml:space="preserve"> – розкрити роль і місце України в системі міжнародних відносин протягом ХХ –ХХІ століття.</w:t>
            </w:r>
          </w:p>
          <w:p w:rsidR="00E909AB" w:rsidRPr="00E909AB" w:rsidRDefault="00E909AB" w:rsidP="00E909AB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909AB">
              <w:t xml:space="preserve">Завдання вивчити роль і місце України в зарубіжних доктринах і стратегіях ХХ –ХХІ ст. </w:t>
            </w:r>
          </w:p>
          <w:p w:rsidR="00E909AB" w:rsidRPr="00E909AB" w:rsidRDefault="00E909AB" w:rsidP="00E909AB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E909AB">
              <w:t xml:space="preserve">У результаті вивчення навчальної дисципліни студент повинен </w:t>
            </w:r>
          </w:p>
          <w:p w:rsidR="00E909AB" w:rsidRPr="00E909AB" w:rsidRDefault="00E909AB" w:rsidP="00E909AB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E909AB">
              <w:rPr>
                <w:b/>
              </w:rPr>
              <w:t>знати:</w:t>
            </w:r>
            <w:r w:rsidRPr="00E909AB">
              <w:t xml:space="preserve"> 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909AB">
              <w:t>геополітичні концепції воюючих держав щодо України під час Першої світової війни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909AB">
              <w:t>геополітичні проекти держав щодо України у міжвоєнний період та під час Другої світової війни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909AB">
              <w:t>напрямки і зміст зовнішньополітичної діяльності України протягом ХХ ст.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909AB">
              <w:t>становлення та розвиток двосторонніх відносин України з сусідніми із нею та іншими провідними державами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0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E909AB">
              <w:t xml:space="preserve">основний зміст і здобутки української дипломатії </w:t>
            </w:r>
            <w:proofErr w:type="spellStart"/>
            <w:r w:rsidRPr="00E909AB">
              <w:t>ХХ–поч</w:t>
            </w:r>
            <w:proofErr w:type="spellEnd"/>
            <w:r w:rsidRPr="00E909AB">
              <w:t>. ХХІ ст.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0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E909AB">
              <w:t xml:space="preserve">основні форм і методи дипломатичної діяльності провідних держав щодо України 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0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E909AB">
              <w:t>зміни зарубіжних доктрин і концепцій щодо України протягом ХХ ст.</w:t>
            </w:r>
          </w:p>
          <w:p w:rsidR="00E909AB" w:rsidRPr="00E909AB" w:rsidRDefault="00E909AB" w:rsidP="00E909AB">
            <w:pPr>
              <w:ind w:firstLine="527"/>
              <w:jc w:val="both"/>
              <w:rPr>
                <w:b/>
                <w:color w:val="000000"/>
              </w:rPr>
            </w:pPr>
            <w:r w:rsidRPr="00E909AB">
              <w:rPr>
                <w:b/>
                <w:color w:val="000000"/>
              </w:rPr>
              <w:t>вміти: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909AB">
              <w:t>характеризувати становище українських земель на початку ХХ ст.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909AB">
              <w:t>аналізувати зовнішньополітичні концепції, доктрини щодо України провідних держав світу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909AB">
              <w:t>прослідкувати еволюцію геополітичних проектів щодо України</w:t>
            </w:r>
          </w:p>
          <w:p w:rsidR="00E909AB" w:rsidRPr="00E909AB" w:rsidRDefault="00E909AB" w:rsidP="00E909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909AB">
              <w:t>визначати геополітичні фактори міжнародних відносин України</w:t>
            </w:r>
          </w:p>
          <w:p w:rsidR="00E909AB" w:rsidRPr="00E909AB" w:rsidRDefault="00E909AB" w:rsidP="00E909AB">
            <w:pPr>
              <w:numPr>
                <w:ilvl w:val="1"/>
                <w:numId w:val="4"/>
              </w:numPr>
              <w:tabs>
                <w:tab w:val="num" w:pos="720"/>
              </w:tabs>
              <w:ind w:left="900" w:hanging="540"/>
              <w:jc w:val="both"/>
            </w:pPr>
            <w:r w:rsidRPr="00E909AB">
              <w:t xml:space="preserve">історично </w:t>
            </w:r>
            <w:proofErr w:type="spellStart"/>
            <w:r w:rsidRPr="00E909AB">
              <w:t>обгрунтувати</w:t>
            </w:r>
            <w:proofErr w:type="spellEnd"/>
            <w:r w:rsidRPr="00E909AB">
              <w:t xml:space="preserve"> концепції і доктрини щодо України зарубіжних держав</w:t>
            </w:r>
          </w:p>
          <w:p w:rsidR="00E909AB" w:rsidRPr="00E909AB" w:rsidRDefault="00E909AB" w:rsidP="00E909AB">
            <w:pPr>
              <w:widowControl w:val="0"/>
              <w:numPr>
                <w:ilvl w:val="1"/>
                <w:numId w:val="4"/>
              </w:numPr>
              <w:shd w:val="clear" w:color="auto" w:fill="FFFFFF"/>
              <w:tabs>
                <w:tab w:val="num" w:pos="720"/>
                <w:tab w:val="left" w:leader="dot" w:pos="9658"/>
              </w:tabs>
              <w:autoSpaceDE w:val="0"/>
              <w:autoSpaceDN w:val="0"/>
              <w:adjustRightInd w:val="0"/>
              <w:ind w:hanging="1647"/>
              <w:jc w:val="both"/>
              <w:rPr>
                <w:b/>
                <w:color w:val="000000"/>
              </w:rPr>
            </w:pPr>
            <w:r w:rsidRPr="00E909AB">
              <w:rPr>
                <w:lang w:eastAsia="uk-UA"/>
              </w:rPr>
              <w:t>використовувати порівняно-історичний підхід;</w:t>
            </w:r>
          </w:p>
          <w:p w:rsidR="001A1C9C" w:rsidRPr="00C67355" w:rsidRDefault="00E909AB" w:rsidP="00E909AB">
            <w:pPr>
              <w:widowControl w:val="0"/>
              <w:numPr>
                <w:ilvl w:val="1"/>
                <w:numId w:val="4"/>
              </w:numPr>
              <w:shd w:val="clear" w:color="auto" w:fill="FFFFFF"/>
              <w:tabs>
                <w:tab w:val="num" w:pos="720"/>
                <w:tab w:val="left" w:leader="dot" w:pos="9658"/>
              </w:tabs>
              <w:autoSpaceDE w:val="0"/>
              <w:autoSpaceDN w:val="0"/>
              <w:adjustRightInd w:val="0"/>
              <w:ind w:left="720"/>
              <w:jc w:val="both"/>
            </w:pPr>
            <w:r w:rsidRPr="00E909AB">
              <w:rPr>
                <w:lang w:eastAsia="uk-UA"/>
              </w:rPr>
              <w:t>виділяти основні періоди розвитку міжнародних відносин України протягом ХХ - поч. ХХІ ст.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1039A3" w:rsidRDefault="001A1C9C" w:rsidP="00E12789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1A1C9C" w:rsidRPr="00D15DC1" w:rsidTr="00070521">
        <w:tc>
          <w:tcPr>
            <w:tcW w:w="9571" w:type="dxa"/>
            <w:gridSpan w:val="10"/>
          </w:tcPr>
          <w:p w:rsidR="00D15DC1" w:rsidRDefault="00D15DC1" w:rsidP="00D15DC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Практична (С1)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Здатність і готовність застосовувати знання у практичних ситуаціях.</w:t>
            </w:r>
          </w:p>
          <w:p w:rsidR="00D15DC1" w:rsidRDefault="00D15DC1" w:rsidP="00D15DC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Дослідницька (С2)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Здатність   і   готовність   аналізувати   та   моделювати   стан   та   розвиток історичних процесів.</w:t>
            </w:r>
          </w:p>
          <w:p w:rsidR="00D15DC1" w:rsidRDefault="00D15DC1" w:rsidP="00D15DC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Проектувальна (С3)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Здатність і готовність розробляти моделі та готувати дослідницькі проекти про актуальні проблеми історичної науки рідною та іноземними мовами.</w:t>
            </w:r>
          </w:p>
          <w:p w:rsidR="00CC5E9F" w:rsidRDefault="00D15DC1" w:rsidP="00D15DC1">
            <w:pPr>
              <w:rPr>
                <w:b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Суспільно-політична (С7)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історії та етнології;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Default="001A1C9C" w:rsidP="00E12789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84333C">
              <w:rPr>
                <w:b/>
              </w:rPr>
              <w:t>Результати навчання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both"/>
            </w:pP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>
              <w:rPr>
                <w:b/>
              </w:rPr>
              <w:t>6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 w:rsidRPr="00C67355">
              <w:t>Обсяг курсу</w:t>
            </w:r>
          </w:p>
        </w:tc>
      </w:tr>
      <w:tr w:rsidR="001A1C9C" w:rsidRPr="00C67355" w:rsidTr="00070521">
        <w:tc>
          <w:tcPr>
            <w:tcW w:w="6050" w:type="dxa"/>
            <w:gridSpan w:val="5"/>
          </w:tcPr>
          <w:p w:rsidR="001A1C9C" w:rsidRPr="000C46E3" w:rsidRDefault="001A1C9C" w:rsidP="00E12789">
            <w:pPr>
              <w:jc w:val="center"/>
            </w:pPr>
            <w:r w:rsidRPr="000C46E3">
              <w:t>Вид заняття</w:t>
            </w:r>
          </w:p>
        </w:tc>
        <w:tc>
          <w:tcPr>
            <w:tcW w:w="3521" w:type="dxa"/>
            <w:gridSpan w:val="5"/>
          </w:tcPr>
          <w:p w:rsidR="001A1C9C" w:rsidRPr="000C46E3" w:rsidRDefault="001A1C9C" w:rsidP="00E12789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A1C9C" w:rsidRPr="00C67355" w:rsidTr="00070521">
        <w:tc>
          <w:tcPr>
            <w:tcW w:w="6050" w:type="dxa"/>
            <w:gridSpan w:val="5"/>
          </w:tcPr>
          <w:p w:rsidR="001A1C9C" w:rsidRDefault="001A1C9C" w:rsidP="00E1278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21" w:type="dxa"/>
            <w:gridSpan w:val="5"/>
          </w:tcPr>
          <w:p w:rsidR="001A1C9C" w:rsidRPr="000C46E3" w:rsidRDefault="00CC5E9F" w:rsidP="00E12789">
            <w:pPr>
              <w:jc w:val="both"/>
            </w:pPr>
            <w:r>
              <w:t>16</w:t>
            </w:r>
          </w:p>
        </w:tc>
      </w:tr>
      <w:tr w:rsidR="001A1C9C" w:rsidRPr="00C67355" w:rsidTr="00070521">
        <w:tc>
          <w:tcPr>
            <w:tcW w:w="6050" w:type="dxa"/>
            <w:gridSpan w:val="5"/>
          </w:tcPr>
          <w:p w:rsidR="001A1C9C" w:rsidRDefault="001A1C9C" w:rsidP="00E1278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521" w:type="dxa"/>
            <w:gridSpan w:val="5"/>
          </w:tcPr>
          <w:p w:rsidR="001A1C9C" w:rsidRPr="00C67355" w:rsidRDefault="00CC5E9F" w:rsidP="00E12789">
            <w:pPr>
              <w:jc w:val="both"/>
            </w:pPr>
            <w:r>
              <w:t>14</w:t>
            </w:r>
          </w:p>
        </w:tc>
      </w:tr>
      <w:tr w:rsidR="001A1C9C" w:rsidRPr="00C67355" w:rsidTr="00070521">
        <w:tc>
          <w:tcPr>
            <w:tcW w:w="6050" w:type="dxa"/>
            <w:gridSpan w:val="5"/>
          </w:tcPr>
          <w:p w:rsidR="001A1C9C" w:rsidRDefault="001A1C9C" w:rsidP="00E1278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21" w:type="dxa"/>
            <w:gridSpan w:val="5"/>
          </w:tcPr>
          <w:p w:rsidR="001A1C9C" w:rsidRPr="00C67355" w:rsidRDefault="00CC5E9F" w:rsidP="00E12789">
            <w:pPr>
              <w:jc w:val="both"/>
            </w:pPr>
            <w:r>
              <w:t>60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0C46E3" w:rsidRDefault="001A1C9C" w:rsidP="00E12789">
            <w:pPr>
              <w:jc w:val="center"/>
            </w:pPr>
            <w:r w:rsidRPr="000C46E3">
              <w:t>Ознаки курсу</w:t>
            </w:r>
          </w:p>
        </w:tc>
      </w:tr>
      <w:tr w:rsidR="001A1C9C" w:rsidRPr="00C67355" w:rsidTr="00070521">
        <w:tc>
          <w:tcPr>
            <w:tcW w:w="3004" w:type="dxa"/>
            <w:vAlign w:val="center"/>
          </w:tcPr>
          <w:p w:rsidR="001A1C9C" w:rsidRPr="000C46E3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52" w:type="dxa"/>
            <w:gridSpan w:val="3"/>
            <w:vAlign w:val="center"/>
          </w:tcPr>
          <w:p w:rsidR="001A1C9C" w:rsidRPr="000C46E3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40" w:type="dxa"/>
            <w:gridSpan w:val="4"/>
          </w:tcPr>
          <w:p w:rsidR="001A1C9C" w:rsidRPr="000C46E3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A1C9C" w:rsidRPr="000C46E3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5" w:type="dxa"/>
            <w:gridSpan w:val="2"/>
          </w:tcPr>
          <w:p w:rsidR="001A1C9C" w:rsidRPr="00483A45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A1C9C" w:rsidRPr="000C46E3" w:rsidRDefault="001A1C9C" w:rsidP="00E1278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A1C9C" w:rsidRPr="00C67355" w:rsidTr="00070521">
        <w:tc>
          <w:tcPr>
            <w:tcW w:w="3004" w:type="dxa"/>
          </w:tcPr>
          <w:p w:rsidR="001A1C9C" w:rsidRPr="00CC5E9F" w:rsidRDefault="00CC5E9F" w:rsidP="00CC5E9F">
            <w:pPr>
              <w:jc w:val="center"/>
            </w:pPr>
            <w:r w:rsidRPr="00CC5E9F">
              <w:t>1</w:t>
            </w:r>
          </w:p>
        </w:tc>
        <w:tc>
          <w:tcPr>
            <w:tcW w:w="2252" w:type="dxa"/>
            <w:gridSpan w:val="3"/>
          </w:tcPr>
          <w:p w:rsidR="001A1C9C" w:rsidRPr="00CC5E9F" w:rsidRDefault="00CC5E9F" w:rsidP="00E12789">
            <w:pPr>
              <w:jc w:val="both"/>
            </w:pPr>
            <w:r w:rsidRPr="00CC5E9F">
              <w:t>032 Історія та археологія</w:t>
            </w:r>
          </w:p>
        </w:tc>
        <w:tc>
          <w:tcPr>
            <w:tcW w:w="2140" w:type="dxa"/>
            <w:gridSpan w:val="4"/>
          </w:tcPr>
          <w:p w:rsidR="001A1C9C" w:rsidRPr="00C67355" w:rsidRDefault="00CC5E9F" w:rsidP="00CC5E9F">
            <w:pPr>
              <w:jc w:val="center"/>
            </w:pPr>
            <w:r>
              <w:t>1</w:t>
            </w:r>
          </w:p>
        </w:tc>
        <w:tc>
          <w:tcPr>
            <w:tcW w:w="2175" w:type="dxa"/>
            <w:gridSpan w:val="2"/>
          </w:tcPr>
          <w:p w:rsidR="001A1C9C" w:rsidRPr="00C67355" w:rsidRDefault="00CC5E9F" w:rsidP="00CC5E9F">
            <w:pPr>
              <w:jc w:val="both"/>
            </w:pPr>
            <w:r>
              <w:t>вибірковий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C67355" w:rsidRDefault="001A1C9C" w:rsidP="00E12789">
            <w:pPr>
              <w:jc w:val="center"/>
            </w:pPr>
            <w:r w:rsidRPr="004F7AFF">
              <w:t>Тематика курсу</w:t>
            </w:r>
          </w:p>
        </w:tc>
      </w:tr>
      <w:tr w:rsidR="004F7005" w:rsidRPr="00C67355" w:rsidTr="00070521">
        <w:trPr>
          <w:trHeight w:val="97"/>
        </w:trPr>
        <w:tc>
          <w:tcPr>
            <w:tcW w:w="6062" w:type="dxa"/>
            <w:gridSpan w:val="6"/>
            <w:vMerge w:val="restart"/>
          </w:tcPr>
          <w:p w:rsidR="004F7005" w:rsidRPr="00AC76DC" w:rsidRDefault="004F7005" w:rsidP="00E12789">
            <w:pPr>
              <w:jc w:val="center"/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3509" w:type="dxa"/>
            <w:gridSpan w:val="4"/>
          </w:tcPr>
          <w:p w:rsidR="004F7005" w:rsidRPr="00AC76DC" w:rsidRDefault="004F7005" w:rsidP="00E12789">
            <w:pPr>
              <w:jc w:val="center"/>
            </w:pPr>
            <w:r>
              <w:t>кількість годин</w:t>
            </w:r>
          </w:p>
        </w:tc>
      </w:tr>
      <w:tr w:rsidR="004F7005" w:rsidRPr="00C67355" w:rsidTr="00070521">
        <w:trPr>
          <w:trHeight w:val="96"/>
        </w:trPr>
        <w:tc>
          <w:tcPr>
            <w:tcW w:w="6062" w:type="dxa"/>
            <w:gridSpan w:val="6"/>
            <w:vMerge/>
          </w:tcPr>
          <w:p w:rsidR="004F7005" w:rsidRPr="00AC76DC" w:rsidRDefault="004F7005" w:rsidP="00E127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4F7005" w:rsidRPr="00AC76DC" w:rsidRDefault="004F7005" w:rsidP="00E12789">
            <w:pPr>
              <w:jc w:val="center"/>
            </w:pPr>
            <w:r>
              <w:t>лекція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E12789">
            <w:pPr>
              <w:jc w:val="center"/>
            </w:pPr>
            <w:r>
              <w:t>семінари</w:t>
            </w:r>
          </w:p>
        </w:tc>
        <w:tc>
          <w:tcPr>
            <w:tcW w:w="1241" w:type="dxa"/>
          </w:tcPr>
          <w:p w:rsidR="004F7005" w:rsidRPr="00AC76DC" w:rsidRDefault="00070521" w:rsidP="00E12789">
            <w:pPr>
              <w:jc w:val="center"/>
            </w:pPr>
            <w:r>
              <w:t>сам.</w:t>
            </w:r>
            <w:r w:rsidR="004F7005">
              <w:t xml:space="preserve"> робота</w:t>
            </w:r>
          </w:p>
        </w:tc>
      </w:tr>
      <w:tr w:rsidR="00070521" w:rsidRPr="00C67355" w:rsidTr="00070521">
        <w:tc>
          <w:tcPr>
            <w:tcW w:w="6062" w:type="dxa"/>
            <w:gridSpan w:val="6"/>
          </w:tcPr>
          <w:p w:rsidR="004F7005" w:rsidRPr="00AC76DC" w:rsidRDefault="004F7005" w:rsidP="00E12789">
            <w:pPr>
              <w:jc w:val="both"/>
            </w:pPr>
            <w:r w:rsidRPr="00CA5467">
              <w:t>Україна в геополітичних концепціях першої третини XX століття</w:t>
            </w:r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070521" w:rsidP="00FB2921">
            <w:pPr>
              <w:jc w:val="center"/>
            </w:pPr>
            <w:r>
              <w:t>5</w:t>
            </w:r>
          </w:p>
        </w:tc>
      </w:tr>
      <w:tr w:rsidR="00070521" w:rsidRPr="00C67355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</w:pPr>
            <w:r w:rsidRPr="00CA5467">
              <w:rPr>
                <w:lang w:eastAsia="uk-UA"/>
              </w:rPr>
              <w:t>Українське питання в</w:t>
            </w:r>
            <w:r w:rsidRPr="00CA5467">
              <w:rPr>
                <w:rStyle w:val="6"/>
                <w:bCs w:val="0"/>
                <w:lang w:eastAsia="uk-UA"/>
              </w:rPr>
              <w:t xml:space="preserve"> </w:t>
            </w:r>
            <w:r w:rsidRPr="00CA5467">
              <w:rPr>
                <w:rStyle w:val="6"/>
                <w:b w:val="0"/>
                <w:bCs w:val="0"/>
                <w:lang w:eastAsia="uk-UA"/>
              </w:rPr>
              <w:t>політиці</w:t>
            </w:r>
            <w:r w:rsidRPr="00CA5467">
              <w:rPr>
                <w:rStyle w:val="6"/>
                <w:bCs w:val="0"/>
                <w:lang w:eastAsia="uk-UA"/>
              </w:rPr>
              <w:t xml:space="preserve"> </w:t>
            </w:r>
            <w:r w:rsidRPr="00CA5467">
              <w:rPr>
                <w:lang w:eastAsia="uk-UA"/>
              </w:rPr>
              <w:t>Австро-Угорщини</w:t>
            </w:r>
            <w:r w:rsidRPr="00CA5467">
              <w:rPr>
                <w:rStyle w:val="6"/>
                <w:bCs w:val="0"/>
                <w:lang w:eastAsia="uk-UA"/>
              </w:rPr>
              <w:t xml:space="preserve"> (</w:t>
            </w:r>
            <w:r w:rsidRPr="00CA5467">
              <w:rPr>
                <w:rStyle w:val="6"/>
                <w:b w:val="0"/>
                <w:bCs w:val="0"/>
                <w:lang w:eastAsia="uk-UA"/>
              </w:rPr>
              <w:t>кінець XIX -</w:t>
            </w:r>
            <w:r w:rsidRPr="00CA5467">
              <w:rPr>
                <w:rStyle w:val="6"/>
                <w:bCs w:val="0"/>
                <w:lang w:eastAsia="uk-UA"/>
              </w:rPr>
              <w:t xml:space="preserve"> </w:t>
            </w:r>
            <w:r w:rsidRPr="00CA5467">
              <w:rPr>
                <w:lang w:eastAsia="uk-UA"/>
              </w:rPr>
              <w:t>початок XX століть)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070521" w:rsidP="00FB2921">
            <w:pPr>
              <w:jc w:val="center"/>
            </w:pPr>
            <w:r>
              <w:t>5</w:t>
            </w:r>
          </w:p>
        </w:tc>
      </w:tr>
      <w:tr w:rsidR="00070521" w:rsidRPr="00C67355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lang w:eastAsia="uk-UA"/>
              </w:rPr>
            </w:pPr>
            <w:r w:rsidRPr="00CA5467">
              <w:rPr>
                <w:color w:val="000000"/>
              </w:rPr>
              <w:t>Політика Російської імперії щодо України на початку ХХ ст.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070521" w:rsidP="00FB2921">
            <w:pPr>
              <w:jc w:val="center"/>
            </w:pPr>
            <w:r>
              <w:t>5</w:t>
            </w:r>
          </w:p>
        </w:tc>
      </w:tr>
      <w:tr w:rsidR="00070521" w:rsidRPr="00C67355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CA5467">
              <w:rPr>
                <w:color w:val="000000"/>
              </w:rPr>
              <w:t>Політика держав німецько-австрійського блоку щодо України в період Першої світової війни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5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CA5467">
              <w:rPr>
                <w:bCs/>
                <w:color w:val="000000"/>
              </w:rPr>
              <w:t>Українське питання в політиці держав Антанти в роки Першої світової війни</w:t>
            </w:r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CA5467">
              <w:t>Україна в польських зовнішньополітичних доктринах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CA5467">
              <w:t>Україна в концепціях і доктринах Угорщини</w:t>
            </w:r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0E7B9B">
              <w:t>Україна та «українське питання» в політиці Чехословаччини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0E7B9B" w:rsidRDefault="004F7005" w:rsidP="00E12789">
            <w:pPr>
              <w:jc w:val="both"/>
            </w:pPr>
            <w:r w:rsidRPr="000E7B9B">
              <w:t>Україна в румунських зовнішньополітичних концепціях</w:t>
            </w:r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0E7B9B" w:rsidRDefault="004F7005" w:rsidP="00E12789">
            <w:pPr>
              <w:jc w:val="both"/>
            </w:pPr>
            <w:r w:rsidRPr="000E7B9B">
              <w:t>Україна в зовнішній політиці Туреччини</w:t>
            </w:r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0E7B9B" w:rsidRDefault="004F7005" w:rsidP="00E12789">
            <w:pPr>
              <w:jc w:val="both"/>
            </w:pPr>
            <w:r w:rsidRPr="000E7B9B">
              <w:t>Україна в стратегічних планах Німеччини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0E7B9B" w:rsidRDefault="004F7005" w:rsidP="00E12789">
            <w:pPr>
              <w:jc w:val="both"/>
            </w:pPr>
            <w:r w:rsidRPr="000E7B9B">
              <w:t>Україна у зовнішньополітичних доктринах США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0E7B9B">
              <w:t>«Українське питання» в політичній стратегії Росії</w:t>
            </w:r>
          </w:p>
        </w:tc>
        <w:tc>
          <w:tcPr>
            <w:tcW w:w="1276" w:type="dxa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4F7005" w:rsidRPr="00CA5467" w:rsidRDefault="004F7005" w:rsidP="00E12789">
            <w:pPr>
              <w:jc w:val="both"/>
              <w:rPr>
                <w:color w:val="000000"/>
              </w:rPr>
            </w:pPr>
            <w:r w:rsidRPr="000E7B9B">
              <w:t xml:space="preserve">Україна в концепціях і стратегіях на початку ХХІ </w:t>
            </w:r>
            <w:proofErr w:type="spellStart"/>
            <w:r w:rsidRPr="000E7B9B">
              <w:t>ст</w:t>
            </w:r>
            <w:proofErr w:type="spellEnd"/>
          </w:p>
        </w:tc>
        <w:tc>
          <w:tcPr>
            <w:tcW w:w="1276" w:type="dxa"/>
          </w:tcPr>
          <w:p w:rsidR="004F7005" w:rsidRPr="00AC76DC" w:rsidRDefault="004F7005" w:rsidP="00FB2921">
            <w:pPr>
              <w:jc w:val="center"/>
            </w:pPr>
          </w:p>
        </w:tc>
        <w:tc>
          <w:tcPr>
            <w:tcW w:w="992" w:type="dxa"/>
            <w:gridSpan w:val="2"/>
          </w:tcPr>
          <w:p w:rsidR="004F7005" w:rsidRPr="00AC76DC" w:rsidRDefault="00070521" w:rsidP="00FB2921">
            <w:pPr>
              <w:jc w:val="center"/>
            </w:pPr>
            <w:r>
              <w:t>2</w:t>
            </w:r>
          </w:p>
        </w:tc>
        <w:tc>
          <w:tcPr>
            <w:tcW w:w="1241" w:type="dxa"/>
          </w:tcPr>
          <w:p w:rsidR="004F7005" w:rsidRPr="00AC76DC" w:rsidRDefault="00FB2921" w:rsidP="00FB2921">
            <w:pPr>
              <w:jc w:val="center"/>
            </w:pPr>
            <w:r>
              <w:t>4</w:t>
            </w:r>
          </w:p>
        </w:tc>
      </w:tr>
      <w:tr w:rsidR="00070521" w:rsidRPr="00A015DF" w:rsidTr="00070521">
        <w:tc>
          <w:tcPr>
            <w:tcW w:w="6062" w:type="dxa"/>
            <w:gridSpan w:val="6"/>
          </w:tcPr>
          <w:p w:rsidR="00070521" w:rsidRDefault="00070521" w:rsidP="00E12789">
            <w:pPr>
              <w:jc w:val="both"/>
            </w:pPr>
            <w:proofErr w:type="spellStart"/>
            <w:r>
              <w:t>Заг</w:t>
            </w:r>
            <w:proofErr w:type="spellEnd"/>
            <w:r w:rsidR="00FB2921">
              <w:t xml:space="preserve"> 90</w:t>
            </w:r>
          </w:p>
          <w:p w:rsidR="00070521" w:rsidRPr="000E7B9B" w:rsidRDefault="00070521" w:rsidP="00E12789">
            <w:pPr>
              <w:jc w:val="both"/>
            </w:pPr>
          </w:p>
        </w:tc>
        <w:tc>
          <w:tcPr>
            <w:tcW w:w="1276" w:type="dxa"/>
          </w:tcPr>
          <w:p w:rsidR="00070521" w:rsidRPr="00AC76DC" w:rsidRDefault="00070521" w:rsidP="00FB2921">
            <w:pPr>
              <w:jc w:val="center"/>
            </w:pPr>
            <w:r>
              <w:t>16</w:t>
            </w:r>
          </w:p>
        </w:tc>
        <w:tc>
          <w:tcPr>
            <w:tcW w:w="992" w:type="dxa"/>
            <w:gridSpan w:val="2"/>
          </w:tcPr>
          <w:p w:rsidR="00070521" w:rsidRPr="00AC76DC" w:rsidRDefault="00070521" w:rsidP="00FB2921">
            <w:pPr>
              <w:jc w:val="center"/>
            </w:pPr>
            <w:r>
              <w:t>14</w:t>
            </w:r>
          </w:p>
        </w:tc>
        <w:tc>
          <w:tcPr>
            <w:tcW w:w="1241" w:type="dxa"/>
          </w:tcPr>
          <w:p w:rsidR="00070521" w:rsidRPr="00AC76DC" w:rsidRDefault="00070521" w:rsidP="00FB2921">
            <w:pPr>
              <w:jc w:val="center"/>
            </w:pPr>
            <w:r>
              <w:t>60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151BC4" w:rsidRDefault="001A1C9C" w:rsidP="00E127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1A1C9C" w:rsidRPr="00C67355" w:rsidTr="00070521">
        <w:tc>
          <w:tcPr>
            <w:tcW w:w="3775" w:type="dxa"/>
            <w:gridSpan w:val="2"/>
          </w:tcPr>
          <w:p w:rsidR="001A1C9C" w:rsidRPr="00F23044" w:rsidRDefault="001A1C9C" w:rsidP="00E127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96" w:type="dxa"/>
            <w:gridSpan w:val="8"/>
          </w:tcPr>
          <w:p w:rsidR="00FB2921" w:rsidRPr="00F23044" w:rsidRDefault="00FB2921" w:rsidP="00FB2921">
            <w:pPr>
              <w:jc w:val="both"/>
              <w:rPr>
                <w:rFonts w:eastAsia="Calibri"/>
              </w:rPr>
            </w:pPr>
            <w:r w:rsidRPr="00F23044">
              <w:rPr>
                <w:rFonts w:eastAsia="Calibri"/>
              </w:rPr>
              <w:t xml:space="preserve">Підхід до навчання </w:t>
            </w:r>
            <w:proofErr w:type="spellStart"/>
            <w:r w:rsidRPr="00F23044">
              <w:rPr>
                <w:rFonts w:eastAsia="Calibri"/>
              </w:rPr>
              <w:t>студентоцентрований</w:t>
            </w:r>
            <w:proofErr w:type="spellEnd"/>
            <w:r w:rsidRPr="00F23044">
              <w:rPr>
                <w:rFonts w:eastAsia="Calibri"/>
              </w:rPr>
              <w:t>.</w:t>
            </w:r>
          </w:p>
          <w:p w:rsidR="00FB2921" w:rsidRPr="00F23044" w:rsidRDefault="00FB2921" w:rsidP="00FB2921">
            <w:pPr>
              <w:jc w:val="both"/>
              <w:rPr>
                <w:rFonts w:eastAsia="Calibri"/>
              </w:rPr>
            </w:pPr>
            <w:r w:rsidRPr="00F23044">
              <w:rPr>
                <w:rFonts w:eastAsia="Calibri"/>
              </w:rPr>
              <w:t xml:space="preserve">Вітається й заохочується активна увага під час роботи в аудиторії, творча співучасть у здобутті знань, готовність до обговорення питань, що розглядаються, як результат самостійного опрацювання рекомендованих першоджерел і літератури та самостійного пошуку інформації в мережі Інтернет. Запитання, що виникають, можливі як у ході заняття, так і в кінці, коли виділяється час для обговорення, а також на консультаціях, під час яких здійснюється й відпрацювання пропущених занять і невиконаних видів робіт. </w:t>
            </w:r>
          </w:p>
          <w:p w:rsidR="00FB2921" w:rsidRPr="00F23044" w:rsidRDefault="00FB2921" w:rsidP="00FB2921">
            <w:pPr>
              <w:jc w:val="both"/>
              <w:rPr>
                <w:rFonts w:eastAsia="Calibri"/>
              </w:rPr>
            </w:pPr>
            <w:r w:rsidRPr="00F23044">
              <w:rPr>
                <w:rFonts w:eastAsia="Calibri"/>
              </w:rPr>
              <w:t xml:space="preserve">Усіх форм навчальної співпраці стосуються вимоги </w:t>
            </w:r>
            <w:r w:rsidRPr="00F23044">
              <w:rPr>
                <w:rFonts w:eastAsia="Calibri"/>
                <w:bCs/>
              </w:rPr>
              <w:t xml:space="preserve">Положення про запобігання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</w:t>
            </w:r>
            <w:r w:rsidRPr="00F23044">
              <w:rPr>
                <w:rFonts w:eastAsia="Calibri"/>
              </w:rPr>
              <w:t>та Кодексу честі ПНУ, яким визначаються норми поведінки студентів і працівників університету.</w:t>
            </w:r>
          </w:p>
          <w:p w:rsidR="00FB2921" w:rsidRPr="00F23044" w:rsidRDefault="00FB2921" w:rsidP="00FB2921">
            <w:pPr>
              <w:jc w:val="both"/>
              <w:rPr>
                <w:rFonts w:eastAsia="Calibri"/>
              </w:rPr>
            </w:pPr>
            <w:r w:rsidRPr="00F23044">
              <w:rPr>
                <w:rFonts w:eastAsia="Calibri"/>
              </w:rPr>
              <w:t>Усі основні матеріали з курсу є доступні в системі дистанційного навчання університету.</w:t>
            </w:r>
          </w:p>
          <w:p w:rsidR="00FB2921" w:rsidRPr="00F23044" w:rsidRDefault="00FB2921" w:rsidP="00FB2921">
            <w:pPr>
              <w:jc w:val="both"/>
            </w:pPr>
            <w:r w:rsidRPr="00F23044">
              <w:t>Лекції передбачають системний і послідовний виклад навчального матеріалу. Відвідування лекцій для студентів є обов’язковим.</w:t>
            </w:r>
          </w:p>
          <w:p w:rsidR="00FB2921" w:rsidRPr="00F23044" w:rsidRDefault="00FB2921" w:rsidP="00FB2921">
            <w:pPr>
              <w:jc w:val="both"/>
            </w:pPr>
            <w:r w:rsidRPr="00F23044">
              <w:t xml:space="preserve">Відвідування та активна участь студентів у роботі семінарських занять також є обов’язковою умовою успішного складання курсу. Пропонуються наступні форми роботи на семінарських заняттях: виступ, </w:t>
            </w:r>
            <w:proofErr w:type="spellStart"/>
            <w:r w:rsidRPr="00F23044">
              <w:t>опонування</w:t>
            </w:r>
            <w:proofErr w:type="spellEnd"/>
            <w:r w:rsidRPr="00F23044">
              <w:t xml:space="preserve">, рецензія, участь у дискусії, прес-конференції, ін. При цьому враховуватимуться лише логічно обґрунтовані виступи, альтернативна теза чи спростування поданої, а не фактична підтримка тези виступаючого, змістовне рецензування та коментар чи доповнення, що дійсно сприятиме розгляду проблеми. </w:t>
            </w:r>
          </w:p>
          <w:p w:rsidR="001A1C9C" w:rsidRPr="00F23044" w:rsidRDefault="00FB2921" w:rsidP="00FB2921">
            <w:pPr>
              <w:jc w:val="both"/>
            </w:pPr>
            <w:proofErr w:type="spellStart"/>
            <w:r w:rsidRPr="00F23044">
              <w:rPr>
                <w:lang w:val="ru-RU"/>
              </w:rPr>
              <w:t>Політика</w:t>
            </w:r>
            <w:proofErr w:type="spellEnd"/>
            <w:r w:rsidRPr="00F23044">
              <w:rPr>
                <w:lang w:val="ru-RU"/>
              </w:rPr>
              <w:t xml:space="preserve"> курсу </w:t>
            </w:r>
            <w:proofErr w:type="spellStart"/>
            <w:r w:rsidRPr="00F23044">
              <w:rPr>
                <w:lang w:val="ru-RU"/>
              </w:rPr>
              <w:t>передбачає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перездачу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усіх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невиконаних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завдань</w:t>
            </w:r>
            <w:proofErr w:type="spellEnd"/>
            <w:r w:rsidRPr="00F23044">
              <w:rPr>
                <w:lang w:val="ru-RU"/>
              </w:rPr>
              <w:t xml:space="preserve"> в силу </w:t>
            </w:r>
            <w:proofErr w:type="spellStart"/>
            <w:r w:rsidRPr="00F23044">
              <w:rPr>
                <w:lang w:val="ru-RU"/>
              </w:rPr>
              <w:t>серйозних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запізнень</w:t>
            </w:r>
            <w:proofErr w:type="spellEnd"/>
            <w:r w:rsidRPr="00F23044">
              <w:rPr>
                <w:lang w:val="ru-RU"/>
              </w:rPr>
              <w:t xml:space="preserve"> на </w:t>
            </w:r>
            <w:proofErr w:type="spellStart"/>
            <w:r w:rsidRPr="00F23044">
              <w:rPr>
                <w:lang w:val="ru-RU"/>
              </w:rPr>
              <w:t>заняття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або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пропущених</w:t>
            </w:r>
            <w:proofErr w:type="spellEnd"/>
            <w:r w:rsidRPr="00F23044">
              <w:rPr>
                <w:lang w:val="ru-RU"/>
              </w:rPr>
              <w:t xml:space="preserve"> пар без </w:t>
            </w:r>
            <w:proofErr w:type="spellStart"/>
            <w:r w:rsidRPr="00F23044">
              <w:rPr>
                <w:lang w:val="ru-RU"/>
              </w:rPr>
              <w:t>поважних</w:t>
            </w:r>
            <w:proofErr w:type="spellEnd"/>
            <w:r w:rsidRPr="00F23044">
              <w:rPr>
                <w:lang w:val="ru-RU"/>
              </w:rPr>
              <w:t xml:space="preserve"> причин. За </w:t>
            </w:r>
            <w:proofErr w:type="spellStart"/>
            <w:r w:rsidRPr="00F23044">
              <w:rPr>
                <w:lang w:val="ru-RU"/>
              </w:rPr>
              <w:t>умови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відсутності</w:t>
            </w:r>
            <w:proofErr w:type="spellEnd"/>
            <w:r w:rsidRPr="00F23044">
              <w:rPr>
                <w:lang w:val="ru-RU"/>
              </w:rPr>
              <w:t xml:space="preserve"> студента (-</w:t>
            </w:r>
            <w:proofErr w:type="spellStart"/>
            <w:r w:rsidRPr="00F23044">
              <w:rPr>
                <w:lang w:val="ru-RU"/>
              </w:rPr>
              <w:t>ки</w:t>
            </w:r>
            <w:proofErr w:type="spellEnd"/>
            <w:r w:rsidRPr="00F23044">
              <w:rPr>
                <w:lang w:val="ru-RU"/>
              </w:rPr>
              <w:t xml:space="preserve">) на </w:t>
            </w:r>
            <w:proofErr w:type="spellStart"/>
            <w:r w:rsidRPr="00F23044">
              <w:rPr>
                <w:lang w:val="ru-RU"/>
              </w:rPr>
              <w:t>лекції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чи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семінарського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заняття</w:t>
            </w:r>
            <w:proofErr w:type="spellEnd"/>
            <w:r w:rsidRPr="00F23044">
              <w:rPr>
                <w:lang w:val="ru-RU"/>
              </w:rPr>
              <w:t xml:space="preserve">, </w:t>
            </w:r>
            <w:proofErr w:type="spellStart"/>
            <w:r w:rsidRPr="00F23044">
              <w:rPr>
                <w:lang w:val="ru-RU"/>
              </w:rPr>
              <w:t>отримання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негативної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оцінки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gramStart"/>
            <w:r w:rsidRPr="00F23044">
              <w:rPr>
                <w:lang w:val="ru-RU"/>
              </w:rPr>
              <w:t>на</w:t>
            </w:r>
            <w:proofErr w:type="gramEnd"/>
            <w:r w:rsidRPr="00F23044">
              <w:rPr>
                <w:lang w:val="ru-RU"/>
              </w:rPr>
              <w:t xml:space="preserve"> </w:t>
            </w:r>
            <w:proofErr w:type="spellStart"/>
            <w:proofErr w:type="gramStart"/>
            <w:r w:rsidRPr="00F23044">
              <w:rPr>
                <w:lang w:val="ru-RU"/>
              </w:rPr>
              <w:t>сем</w:t>
            </w:r>
            <w:proofErr w:type="gramEnd"/>
            <w:r w:rsidRPr="00F23044">
              <w:rPr>
                <w:lang w:val="ru-RU"/>
              </w:rPr>
              <w:t>інарських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заняттях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або</w:t>
            </w:r>
            <w:proofErr w:type="spellEnd"/>
            <w:r w:rsidRPr="00F23044">
              <w:rPr>
                <w:lang w:val="ru-RU"/>
              </w:rPr>
              <w:t xml:space="preserve"> ж </w:t>
            </w:r>
            <w:proofErr w:type="spellStart"/>
            <w:r w:rsidRPr="00F23044">
              <w:rPr>
                <w:lang w:val="ru-RU"/>
              </w:rPr>
              <w:t>невчасного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виконання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індивідуальної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роботи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визначений</w:t>
            </w:r>
            <w:proofErr w:type="spellEnd"/>
            <w:r w:rsidRPr="00F23044">
              <w:rPr>
                <w:lang w:val="ru-RU"/>
              </w:rPr>
              <w:t xml:space="preserve"> день для </w:t>
            </w:r>
            <w:proofErr w:type="spellStart"/>
            <w:r w:rsidRPr="00F23044">
              <w:rPr>
                <w:lang w:val="ru-RU"/>
              </w:rPr>
              <w:t>відпрацювання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пропущених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аудиторних</w:t>
            </w:r>
            <w:proofErr w:type="spellEnd"/>
            <w:r w:rsidRPr="00F23044">
              <w:rPr>
                <w:lang w:val="ru-RU"/>
              </w:rPr>
              <w:t xml:space="preserve"> занять, </w:t>
            </w:r>
            <w:proofErr w:type="spellStart"/>
            <w:r w:rsidRPr="00F23044">
              <w:rPr>
                <w:lang w:val="ru-RU"/>
              </w:rPr>
              <w:t>негативних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оцінок</w:t>
            </w:r>
            <w:proofErr w:type="spellEnd"/>
            <w:r w:rsidRPr="00F23044">
              <w:rPr>
                <w:lang w:val="ru-RU"/>
              </w:rPr>
              <w:t xml:space="preserve"> та </w:t>
            </w:r>
            <w:proofErr w:type="spellStart"/>
            <w:r w:rsidRPr="00F23044">
              <w:rPr>
                <w:lang w:val="ru-RU"/>
              </w:rPr>
              <w:t>подачі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індивідуальних</w:t>
            </w:r>
            <w:proofErr w:type="spellEnd"/>
            <w:r w:rsidRPr="00F23044">
              <w:rPr>
                <w:lang w:val="ru-RU"/>
              </w:rPr>
              <w:t xml:space="preserve"> </w:t>
            </w:r>
            <w:proofErr w:type="spellStart"/>
            <w:r w:rsidRPr="00F23044">
              <w:rPr>
                <w:lang w:val="ru-RU"/>
              </w:rPr>
              <w:t>робіт</w:t>
            </w:r>
            <w:proofErr w:type="spellEnd"/>
            <w:r w:rsidRPr="00F23044">
              <w:rPr>
                <w:lang w:val="ru-RU"/>
              </w:rPr>
              <w:t xml:space="preserve"> – </w:t>
            </w:r>
            <w:r w:rsidRPr="00F23044">
              <w:t>середа,</w:t>
            </w:r>
            <w:r w:rsidRPr="00F23044">
              <w:rPr>
                <w:lang w:val="ru-RU"/>
              </w:rPr>
              <w:t xml:space="preserve"> 14.00 год. – 16.00 год. </w:t>
            </w:r>
          </w:p>
        </w:tc>
      </w:tr>
      <w:tr w:rsidR="001A1C9C" w:rsidRPr="00C67355" w:rsidTr="00070521">
        <w:tc>
          <w:tcPr>
            <w:tcW w:w="3775" w:type="dxa"/>
            <w:gridSpan w:val="2"/>
          </w:tcPr>
          <w:p w:rsidR="001A1C9C" w:rsidRPr="00F23044" w:rsidRDefault="001A1C9C" w:rsidP="00E127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4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96" w:type="dxa"/>
            <w:gridSpan w:val="8"/>
          </w:tcPr>
          <w:p w:rsidR="00867AD9" w:rsidRPr="00F23044" w:rsidRDefault="00867AD9" w:rsidP="00867AD9">
            <w:pPr>
              <w:ind w:firstLine="540"/>
              <w:jc w:val="both"/>
              <w:rPr>
                <w:lang w:eastAsia="uk-UA"/>
              </w:rPr>
            </w:pPr>
            <w:r w:rsidRPr="00F23044">
              <w:rPr>
                <w:lang w:eastAsia="uk-UA"/>
              </w:rPr>
              <w:t xml:space="preserve">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процесу. Даний вид роботи виконується з метою </w:t>
            </w:r>
            <w:r w:rsidRPr="00F23044">
              <w:rPr>
                <w:lang w:eastAsia="uk-UA"/>
              </w:rPr>
              <w:lastRenderedPageBreak/>
              <w:t>закріплення, поглиблення і узагальнення знань.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:rsidR="00867AD9" w:rsidRPr="00F23044" w:rsidRDefault="00867AD9" w:rsidP="00867AD9">
            <w:pPr>
              <w:ind w:firstLine="540"/>
              <w:jc w:val="both"/>
              <w:rPr>
                <w:lang w:eastAsia="uk-UA"/>
              </w:rPr>
            </w:pPr>
            <w:r w:rsidRPr="00F23044">
              <w:rPr>
                <w:lang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 з позицій теоретичної бази і практичних напрацювань його реалізації в суспільній діяльності, в тісній взаємодії та єдиній логіці викладення.</w:t>
            </w:r>
          </w:p>
          <w:p w:rsidR="00867AD9" w:rsidRPr="00F23044" w:rsidRDefault="00867AD9" w:rsidP="00867AD9">
            <w:pPr>
              <w:ind w:firstLine="540"/>
              <w:jc w:val="both"/>
              <w:rPr>
                <w:lang w:eastAsia="uk-UA"/>
              </w:rPr>
            </w:pPr>
            <w:r w:rsidRPr="00F23044">
              <w:rPr>
                <w:lang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науково-прикладні актуальні завдання.</w:t>
            </w:r>
          </w:p>
          <w:p w:rsidR="00867AD9" w:rsidRPr="00F23044" w:rsidRDefault="00867AD9" w:rsidP="00867AD9">
            <w:pPr>
              <w:ind w:firstLine="540"/>
              <w:jc w:val="both"/>
            </w:pPr>
            <w:r w:rsidRPr="00F23044">
              <w:t xml:space="preserve">Написання ІНДЗ на одну із запропонованих викладачем тем згідно наступних вимог: обсяг – 15-20 сторінок, 14 шрифт, 1,5 інтервал, поля: зліва, зверху, знизу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23044">
                <w:t>20 мм</w:t>
              </w:r>
            </w:smartTag>
            <w:r w:rsidRPr="00F23044"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23044">
                <w:t>15 мм</w:t>
              </w:r>
            </w:smartTag>
            <w:r w:rsidRPr="00F23044">
              <w:t>. Список літератури подавати наприкінці тексту за , де перша цифра – номер</w:t>
            </w:r>
            <w:r w:rsidRPr="00F23044">
              <w:sym w:font="Symbol" w:char="F05D"/>
            </w:r>
            <w:r w:rsidRPr="00F23044">
              <w:t>1, 8</w:t>
            </w:r>
            <w:r w:rsidRPr="00F23044">
              <w:sym w:font="Symbol" w:char="F05B"/>
            </w:r>
            <w:r w:rsidRPr="00F23044">
              <w:t xml:space="preserve">алфавітом. Посилання в тексті в квадратних дужках  позиції у списку літератури, а друга – номер сторінки. </w:t>
            </w:r>
          </w:p>
          <w:p w:rsidR="001A1C9C" w:rsidRPr="00F23044" w:rsidRDefault="00867AD9" w:rsidP="00F23044">
            <w:pPr>
              <w:ind w:firstLine="540"/>
              <w:jc w:val="both"/>
            </w:pPr>
            <w:r w:rsidRPr="00F23044">
              <w:t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Виконане ІНДЗ студент надає наприкінці семестру, але не пізніше терміну проведення підсумкового модульного контролю. Оцінка за виконання ІНДЗ враховується при виставленні загальної оцінки з дисципліни.</w:t>
            </w:r>
          </w:p>
        </w:tc>
      </w:tr>
      <w:tr w:rsidR="001A1C9C" w:rsidRPr="00C67355" w:rsidTr="00070521">
        <w:tc>
          <w:tcPr>
            <w:tcW w:w="3775" w:type="dxa"/>
            <w:gridSpan w:val="2"/>
          </w:tcPr>
          <w:p w:rsidR="001A1C9C" w:rsidRPr="00F23044" w:rsidRDefault="001A1C9C" w:rsidP="00E127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796" w:type="dxa"/>
            <w:gridSpan w:val="8"/>
          </w:tcPr>
          <w:p w:rsidR="00867AD9" w:rsidRPr="00F23044" w:rsidRDefault="00867AD9" w:rsidP="00867AD9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F23044">
              <w:rPr>
                <w:color w:val="000000"/>
                <w:shd w:val="clear" w:color="auto" w:fill="FFFFFF"/>
              </w:rPr>
              <w:t>На </w:t>
            </w:r>
            <w:r w:rsidRPr="00F23044">
              <w:rPr>
                <w:bCs/>
                <w:color w:val="000000"/>
                <w:shd w:val="clear" w:color="auto" w:fill="FFFFFF"/>
              </w:rPr>
              <w:t>семінарських </w:t>
            </w:r>
            <w:r w:rsidRPr="00F23044">
              <w:rPr>
                <w:color w:val="000000"/>
                <w:shd w:val="clear" w:color="auto" w:fill="FFFFFF"/>
              </w:rPr>
              <w:t>занят</w:t>
            </w:r>
            <w:proofErr w:type="spellEnd"/>
            <w:r w:rsidRPr="00F23044">
              <w:rPr>
                <w:color w:val="000000"/>
                <w:shd w:val="clear" w:color="auto" w:fill="FFFFFF"/>
              </w:rPr>
              <w:t xml:space="preserve">тях оцінці підлягають: рівень знань, продемонстрований у виступах, активність при обговоренні питань, відповіді на питання експрес-контролю тощо. Критеріями оцінки при усних відповідях можуть бути: повнота розкриття питання; логіка викладення; впевненість та переконливість, культура мови; використання основної та додаткової </w:t>
            </w:r>
            <w:r w:rsidRPr="00F23044">
              <w:rPr>
                <w:color w:val="000000"/>
                <w:shd w:val="clear" w:color="auto" w:fill="FFFFFF"/>
              </w:rPr>
              <w:lastRenderedPageBreak/>
              <w:t>літератури (монографій, навчальних посібників, журналів, інших періодичних видань тощо); аналітичність міркування, вміння робити порівняння, висновки.</w:t>
            </w:r>
          </w:p>
          <w:p w:rsidR="001A1C9C" w:rsidRPr="00F23044" w:rsidRDefault="00867AD9" w:rsidP="00867AD9">
            <w:pPr>
              <w:jc w:val="both"/>
            </w:pPr>
            <w:r w:rsidRPr="00F23044">
              <w:rPr>
                <w:color w:val="000000"/>
                <w:shd w:val="clear" w:color="auto" w:fill="FFFFFF"/>
              </w:rPr>
              <w:t xml:space="preserve">Робота на семінарських заняттях оцінюється в діапазоні від 2 до 5 балів. </w:t>
            </w:r>
          </w:p>
        </w:tc>
      </w:tr>
      <w:tr w:rsidR="001A1C9C" w:rsidRPr="00C67355" w:rsidTr="00070521">
        <w:tc>
          <w:tcPr>
            <w:tcW w:w="3775" w:type="dxa"/>
            <w:gridSpan w:val="2"/>
          </w:tcPr>
          <w:p w:rsidR="001A1C9C" w:rsidRPr="00F23044" w:rsidRDefault="001A1C9C" w:rsidP="00E1278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796" w:type="dxa"/>
            <w:gridSpan w:val="8"/>
          </w:tcPr>
          <w:p w:rsidR="00867AD9" w:rsidRPr="00F23044" w:rsidRDefault="00867AD9" w:rsidP="00867AD9">
            <w:pPr>
              <w:jc w:val="both"/>
            </w:pPr>
            <w:r w:rsidRPr="00F23044">
              <w:t>Належне виконання:</w:t>
            </w:r>
          </w:p>
          <w:p w:rsidR="00867AD9" w:rsidRPr="00F23044" w:rsidRDefault="00867AD9" w:rsidP="00867AD9">
            <w:pPr>
              <w:jc w:val="both"/>
            </w:pPr>
            <w:r w:rsidRPr="00F23044">
              <w:t xml:space="preserve">1) змісту питань планів семінарських занять Для цього необхідно готувати конспекти семінарських занять. Вітається якісна підготовка </w:t>
            </w:r>
            <w:proofErr w:type="spellStart"/>
            <w:r w:rsidRPr="00F23044">
              <w:t>візуалізованих</w:t>
            </w:r>
            <w:proofErr w:type="spellEnd"/>
            <w:r w:rsidRPr="00F23044">
              <w:t xml:space="preserve"> презентацій для відповідей на семінарські питання. </w:t>
            </w:r>
            <w:proofErr w:type="spellStart"/>
            <w:r w:rsidRPr="00F23044">
              <w:t>Візуалізувана</w:t>
            </w:r>
            <w:proofErr w:type="spellEnd"/>
            <w:r w:rsidRPr="00F23044"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F23044">
              <w:t>візуалізована</w:t>
            </w:r>
            <w:proofErr w:type="spellEnd"/>
            <w:r w:rsidRPr="00F23044">
              <w:t xml:space="preserve"> презентація тільки доповнює підготовлену основну відповідь студента (</w:t>
            </w:r>
            <w:proofErr w:type="spellStart"/>
            <w:r w:rsidRPr="00F23044">
              <w:t>-ки</w:t>
            </w:r>
            <w:proofErr w:type="spellEnd"/>
            <w:r w:rsidRPr="00F23044">
              <w:t>).</w:t>
            </w:r>
          </w:p>
          <w:p w:rsidR="001A1C9C" w:rsidRPr="00F23044" w:rsidRDefault="00867AD9" w:rsidP="00867AD9">
            <w:pPr>
              <w:jc w:val="both"/>
            </w:pPr>
            <w:r w:rsidRPr="00F23044">
              <w:t xml:space="preserve">2)  індивідуальної роботи. 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F23044" w:rsidRDefault="001A1C9C" w:rsidP="00E12789">
            <w:pPr>
              <w:jc w:val="center"/>
            </w:pPr>
            <w:r w:rsidRPr="00F23044">
              <w:rPr>
                <w:b/>
              </w:rPr>
              <w:t>8. Політика курсу</w:t>
            </w:r>
          </w:p>
        </w:tc>
      </w:tr>
      <w:tr w:rsidR="001A1C9C" w:rsidRPr="007E7E61" w:rsidTr="00070521">
        <w:tc>
          <w:tcPr>
            <w:tcW w:w="9571" w:type="dxa"/>
            <w:gridSpan w:val="10"/>
          </w:tcPr>
          <w:p w:rsidR="00FB2921" w:rsidRPr="00F23044" w:rsidRDefault="00F23044" w:rsidP="00E12789">
            <w:pPr>
              <w:jc w:val="both"/>
            </w:pPr>
            <w:r w:rsidRPr="00F23044">
              <w:t xml:space="preserve">Політика щодо </w:t>
            </w:r>
            <w:proofErr w:type="spellStart"/>
            <w:r w:rsidRPr="00F23044">
              <w:t>дедлайнів</w:t>
            </w:r>
            <w:proofErr w:type="spellEnd"/>
            <w:r w:rsidRPr="00F23044">
              <w:t xml:space="preserve"> та перескладання: Роботи, які здаються із порушенням термінів без поважних причин, оцінюються на нижчу оцінку. Перескладання модулів відбувається із дозволу деканату за наявності поважних причин (наприклад, лікарняний).</w:t>
            </w:r>
          </w:p>
          <w:p w:rsidR="007E7E61" w:rsidRPr="00F23044" w:rsidRDefault="00FB2921" w:rsidP="007E7E61">
            <w:pPr>
              <w:jc w:val="both"/>
            </w:pPr>
            <w:r w:rsidRPr="00F23044">
              <w:t xml:space="preserve">Академічна доброчесність: </w:t>
            </w:r>
            <w:r w:rsidR="007E7E61" w:rsidRPr="00F23044">
              <w:t xml:space="preserve"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</w:t>
            </w:r>
            <w:proofErr w:type="spellStart"/>
            <w:r w:rsidR="007E7E61" w:rsidRPr="00F23044">
              <w:t>самоплагіат</w:t>
            </w:r>
            <w:proofErr w:type="spellEnd"/>
            <w:r w:rsidR="007E7E61" w:rsidRPr="00F23044">
              <w:t xml:space="preserve">, фабрикація, фальсифікація, списування, обман, хабарництво, необ’єктивне оцінювання. </w:t>
            </w:r>
          </w:p>
          <w:p w:rsidR="001A1C9C" w:rsidRPr="00F23044" w:rsidRDefault="00FB2921" w:rsidP="007E7E61">
            <w:pPr>
              <w:jc w:val="both"/>
            </w:pPr>
            <w:r w:rsidRPr="00F23044">
              <w:t>Відвідування занять</w:t>
            </w:r>
            <w:r w:rsidR="007E7E61" w:rsidRPr="00F23044">
              <w:t xml:space="preserve"> є обов’язковим. Пропуски занять відпрацьовуються (усне опитування); невиконання самостійної роботи неприпустиме.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1A1C9C" w:rsidRPr="00F23044" w:rsidRDefault="001A1C9C" w:rsidP="00E12789">
            <w:pPr>
              <w:jc w:val="center"/>
              <w:rPr>
                <w:b/>
              </w:rPr>
            </w:pPr>
            <w:r w:rsidRPr="00F23044">
              <w:rPr>
                <w:b/>
              </w:rPr>
              <w:t>9. Рекомендована література</w:t>
            </w:r>
          </w:p>
        </w:tc>
      </w:tr>
      <w:tr w:rsidR="001A1C9C" w:rsidRPr="00C67355" w:rsidTr="00070521">
        <w:tc>
          <w:tcPr>
            <w:tcW w:w="9571" w:type="dxa"/>
            <w:gridSpan w:val="10"/>
          </w:tcPr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  <w:tab w:val="left" w:pos="900"/>
                <w:tab w:val="left" w:pos="6412"/>
              </w:tabs>
              <w:spacing w:line="360" w:lineRule="auto"/>
              <w:ind w:left="720" w:hanging="540"/>
              <w:rPr>
                <w:lang w:val="ru-RU"/>
              </w:rPr>
            </w:pPr>
            <w:proofErr w:type="spellStart"/>
            <w:r w:rsidRPr="00F23044">
              <w:rPr>
                <w:lang w:val="ru-RU" w:eastAsia="uk-UA"/>
              </w:rPr>
              <w:t>Бжезінськ</w:t>
            </w:r>
            <w:proofErr w:type="spellEnd"/>
            <w:r w:rsidRPr="00F23044">
              <w:rPr>
                <w:lang w:eastAsia="uk-UA"/>
              </w:rPr>
              <w:t>и</w:t>
            </w:r>
            <w:r w:rsidRPr="00F23044">
              <w:rPr>
                <w:lang w:val="ru-RU" w:eastAsia="uk-UA"/>
              </w:rPr>
              <w:t>й 3.</w:t>
            </w:r>
            <w:r w:rsidRPr="00F23044">
              <w:rPr>
                <w:lang w:eastAsia="uk-UA"/>
              </w:rPr>
              <w:t xml:space="preserve"> </w:t>
            </w:r>
            <w:proofErr w:type="gramStart"/>
            <w:r w:rsidRPr="00F23044">
              <w:rPr>
                <w:lang w:val="ru-RU" w:eastAsia="uk-UA"/>
              </w:rPr>
              <w:t>Велика</w:t>
            </w:r>
            <w:proofErr w:type="gramEnd"/>
            <w:r w:rsidRPr="00F23044">
              <w:rPr>
                <w:lang w:val="ru-RU" w:eastAsia="uk-UA"/>
              </w:rPr>
              <w:t xml:space="preserve"> шахівниця.</w:t>
            </w:r>
            <w:r w:rsidRPr="00F23044">
              <w:rPr>
                <w:lang w:eastAsia="uk-UA"/>
              </w:rPr>
              <w:t xml:space="preserve"> – </w:t>
            </w:r>
            <w:r w:rsidR="00867AD9" w:rsidRPr="00F23044">
              <w:rPr>
                <w:lang w:val="ru-RU" w:eastAsia="uk-UA"/>
              </w:rPr>
              <w:t>К</w:t>
            </w:r>
            <w:r w:rsidRPr="00F23044">
              <w:rPr>
                <w:lang w:val="ru-RU" w:eastAsia="uk-UA"/>
              </w:rPr>
              <w:t>., 1998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color w:val="000000"/>
              </w:rPr>
            </w:pPr>
            <w:proofErr w:type="spellStart"/>
            <w:r w:rsidRPr="00F23044">
              <w:rPr>
                <w:color w:val="000000"/>
              </w:rPr>
              <w:t>Брицький</w:t>
            </w:r>
            <w:proofErr w:type="spellEnd"/>
            <w:r w:rsidRPr="00F23044">
              <w:rPr>
                <w:color w:val="000000"/>
              </w:rPr>
              <w:t xml:space="preserve"> П. Україна у Другій світовій війні (1939–1945 рр.). – Чернівці, 1995.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color w:val="000000"/>
              </w:rPr>
              <w:t>Вегеш</w:t>
            </w:r>
            <w:proofErr w:type="spellEnd"/>
            <w:r w:rsidRPr="00F23044">
              <w:rPr>
                <w:color w:val="000000"/>
              </w:rPr>
              <w:t xml:space="preserve"> М. Карпатська Україна (1938-1989). – Ужгород, 1993.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color w:val="000000"/>
              </w:rPr>
              <w:t>Віднянський</w:t>
            </w:r>
            <w:proofErr w:type="spellEnd"/>
            <w:r w:rsidRPr="00F23044">
              <w:rPr>
                <w:color w:val="000000"/>
              </w:rPr>
              <w:t xml:space="preserve"> С. Т. </w:t>
            </w:r>
            <w:proofErr w:type="spellStart"/>
            <w:r w:rsidRPr="00F23044">
              <w:rPr>
                <w:color w:val="000000"/>
              </w:rPr>
              <w:t>Масарик</w:t>
            </w:r>
            <w:proofErr w:type="spellEnd"/>
            <w:r w:rsidRPr="00F23044">
              <w:rPr>
                <w:color w:val="000000"/>
              </w:rPr>
              <w:t xml:space="preserve"> про Україну </w:t>
            </w:r>
            <w:r w:rsidRPr="00F23044">
              <w:rPr>
                <w:iCs/>
                <w:color w:val="000000"/>
              </w:rPr>
              <w:t xml:space="preserve">і </w:t>
            </w:r>
            <w:r w:rsidRPr="00F23044">
              <w:rPr>
                <w:color w:val="000000"/>
              </w:rPr>
              <w:t>українців // Міжнародні зв'язки України:  наукові  пошуки і знахідки. – 1993. – Вип. 1993.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Cs/>
              </w:rPr>
            </w:pPr>
            <w:proofErr w:type="spellStart"/>
            <w:r w:rsidRPr="00F23044">
              <w:rPr>
                <w:bCs/>
                <w:iCs/>
              </w:rPr>
              <w:t>Віднянський</w:t>
            </w:r>
            <w:proofErr w:type="spellEnd"/>
            <w:r w:rsidRPr="00F23044">
              <w:rPr>
                <w:bCs/>
                <w:iCs/>
              </w:rPr>
              <w:t xml:space="preserve"> С.</w:t>
            </w:r>
            <w:r w:rsidRPr="00F23044">
              <w:rPr>
                <w:bCs/>
              </w:rPr>
              <w:t xml:space="preserve"> Українське питання в зовнішньополітичних концепціях Чехословаччини (1918–1989 рр.) // Український історичний журнал. – 1997. – №1. – С. 43–61.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  <w:tab w:val="left" w:pos="90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bCs/>
                <w:iCs/>
              </w:rPr>
              <w:t>Віднянський</w:t>
            </w:r>
            <w:proofErr w:type="spellEnd"/>
            <w:r w:rsidRPr="00F23044">
              <w:rPr>
                <w:bCs/>
                <w:iCs/>
              </w:rPr>
              <w:t xml:space="preserve"> С.В.</w:t>
            </w:r>
            <w:r w:rsidRPr="00F23044">
              <w:t xml:space="preserve"> Українське питання в міжвоєнній Польщі: основні проблеми й напрямки наукових досліджень у сучасній вітчизняній історичній науці // Український історичний журнал. </w:t>
            </w:r>
            <w:r w:rsidRPr="00F23044">
              <w:rPr>
                <w:lang w:eastAsia="uk-UA"/>
              </w:rPr>
              <w:t>–</w:t>
            </w:r>
            <w:r w:rsidRPr="00F23044">
              <w:t xml:space="preserve"> № 2. </w:t>
            </w:r>
            <w:r w:rsidRPr="00F23044">
              <w:rPr>
                <w:lang w:eastAsia="uk-UA"/>
              </w:rPr>
              <w:t>–</w:t>
            </w:r>
            <w:r w:rsidRPr="00F23044">
              <w:t xml:space="preserve"> Київ, "Наукова думка", 2003. </w:t>
            </w:r>
            <w:r w:rsidRPr="00F23044">
              <w:rPr>
                <w:lang w:eastAsia="uk-UA"/>
              </w:rPr>
              <w:t>–</w:t>
            </w:r>
            <w:r w:rsidRPr="00F23044">
              <w:t xml:space="preserve"> C. 39</w:t>
            </w:r>
            <w:r w:rsidRPr="00F23044">
              <w:rPr>
                <w:lang w:eastAsia="uk-UA"/>
              </w:rPr>
              <w:t>–</w:t>
            </w:r>
            <w:r w:rsidRPr="00F23044">
              <w:t>55. 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color w:val="000000"/>
              </w:rPr>
            </w:pPr>
            <w:proofErr w:type="spellStart"/>
            <w:r w:rsidRPr="00F23044">
              <w:rPr>
                <w:bCs/>
                <w:iCs/>
              </w:rPr>
              <w:t>Власенко</w:t>
            </w:r>
            <w:proofErr w:type="spellEnd"/>
            <w:r w:rsidRPr="00F23044">
              <w:rPr>
                <w:bCs/>
                <w:iCs/>
              </w:rPr>
              <w:t xml:space="preserve"> С. Аграрна політика німецьких властей у військовій зоні України на початковому етапі окупації (вересень 1941-лютий 1942 рр.) // Історичний журнал. – 2004. – № 6-7.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Cs/>
              </w:rPr>
            </w:pPr>
            <w:proofErr w:type="spellStart"/>
            <w:r w:rsidRPr="00F23044">
              <w:rPr>
                <w:bCs/>
              </w:rPr>
              <w:t>Галушко</w:t>
            </w:r>
            <w:proofErr w:type="spellEnd"/>
            <w:r w:rsidRPr="00F23044">
              <w:rPr>
                <w:bCs/>
              </w:rPr>
              <w:t xml:space="preserve"> К. </w:t>
            </w:r>
            <w:proofErr w:type="spellStart"/>
            <w:r w:rsidRPr="00F23044">
              <w:rPr>
                <w:bCs/>
              </w:rPr>
              <w:t>Украинский</w:t>
            </w:r>
            <w:proofErr w:type="spellEnd"/>
            <w:r w:rsidRPr="00F23044">
              <w:rPr>
                <w:bCs/>
              </w:rPr>
              <w:t xml:space="preserve"> </w:t>
            </w:r>
            <w:proofErr w:type="spellStart"/>
            <w:r w:rsidRPr="00F23044">
              <w:rPr>
                <w:bCs/>
              </w:rPr>
              <w:t>национализм</w:t>
            </w:r>
            <w:proofErr w:type="spellEnd"/>
            <w:r w:rsidRPr="00F23044">
              <w:rPr>
                <w:bCs/>
              </w:rPr>
              <w:t xml:space="preserve">: </w:t>
            </w:r>
            <w:proofErr w:type="spellStart"/>
            <w:r w:rsidRPr="00F23044">
              <w:rPr>
                <w:bCs/>
              </w:rPr>
              <w:t>ликбез</w:t>
            </w:r>
            <w:proofErr w:type="spellEnd"/>
            <w:r w:rsidRPr="00F23044">
              <w:rPr>
                <w:bCs/>
              </w:rPr>
              <w:t xml:space="preserve"> для </w:t>
            </w:r>
            <w:proofErr w:type="spellStart"/>
            <w:r w:rsidRPr="00F23044">
              <w:rPr>
                <w:bCs/>
              </w:rPr>
              <w:t>русских</w:t>
            </w:r>
            <w:proofErr w:type="spellEnd"/>
            <w:r w:rsidRPr="00F23044">
              <w:rPr>
                <w:bCs/>
              </w:rPr>
              <w:t xml:space="preserve">, </w:t>
            </w:r>
            <w:proofErr w:type="spellStart"/>
            <w:r w:rsidRPr="00F23044">
              <w:rPr>
                <w:bCs/>
              </w:rPr>
              <w:t>или</w:t>
            </w:r>
            <w:proofErr w:type="spellEnd"/>
            <w:r w:rsidRPr="00F23044">
              <w:rPr>
                <w:bCs/>
              </w:rPr>
              <w:t xml:space="preserve"> </w:t>
            </w:r>
            <w:proofErr w:type="spellStart"/>
            <w:r w:rsidRPr="00F23044">
              <w:rPr>
                <w:bCs/>
              </w:rPr>
              <w:t>Кто</w:t>
            </w:r>
            <w:proofErr w:type="spellEnd"/>
            <w:r w:rsidRPr="00F23044">
              <w:rPr>
                <w:bCs/>
              </w:rPr>
              <w:t xml:space="preserve"> и </w:t>
            </w:r>
            <w:proofErr w:type="spellStart"/>
            <w:r w:rsidRPr="00F23044">
              <w:rPr>
                <w:bCs/>
              </w:rPr>
              <w:t>зачем</w:t>
            </w:r>
            <w:proofErr w:type="spellEnd"/>
            <w:r w:rsidRPr="00F23044">
              <w:rPr>
                <w:bCs/>
              </w:rPr>
              <w:t xml:space="preserve"> </w:t>
            </w:r>
            <w:proofErr w:type="spellStart"/>
            <w:r w:rsidRPr="00F23044">
              <w:rPr>
                <w:bCs/>
              </w:rPr>
              <w:t>придумал</w:t>
            </w:r>
            <w:proofErr w:type="spellEnd"/>
            <w:r w:rsidRPr="00F23044">
              <w:rPr>
                <w:bCs/>
              </w:rPr>
              <w:t xml:space="preserve"> </w:t>
            </w:r>
            <w:proofErr w:type="spellStart"/>
            <w:r w:rsidRPr="00F23044">
              <w:rPr>
                <w:bCs/>
              </w:rPr>
              <w:t>Украину</w:t>
            </w:r>
            <w:proofErr w:type="spellEnd"/>
            <w:r w:rsidRPr="00F23044">
              <w:rPr>
                <w:bCs/>
              </w:rPr>
              <w:t xml:space="preserve">: Видання друге, доповнене / Ред. К. Туз. – К.: </w:t>
            </w:r>
            <w:proofErr w:type="spellStart"/>
            <w:r w:rsidRPr="00F23044">
              <w:rPr>
                <w:bCs/>
              </w:rPr>
              <w:t>Темпора</w:t>
            </w:r>
            <w:proofErr w:type="spellEnd"/>
            <w:r w:rsidRPr="00F23044">
              <w:rPr>
                <w:bCs/>
              </w:rPr>
              <w:t xml:space="preserve">, 2012. – </w:t>
            </w:r>
            <w:r w:rsidRPr="00F23044">
              <w:rPr>
                <w:bCs/>
              </w:rPr>
              <w:lastRenderedPageBreak/>
              <w:t>636 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/>
              </w:rPr>
            </w:pPr>
            <w:r w:rsidRPr="00F23044">
              <w:rPr>
                <w:color w:val="000000"/>
              </w:rPr>
              <w:t>Івченко О. Україна в системі міжнародних відносин: історична ретроспектива та сучасний стан. – К., 1997.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color w:val="000000"/>
              </w:rPr>
            </w:pPr>
            <w:proofErr w:type="spellStart"/>
            <w:r w:rsidRPr="00F23044">
              <w:rPr>
                <w:color w:val="000000"/>
              </w:rPr>
              <w:t>Косик</w:t>
            </w:r>
            <w:proofErr w:type="spellEnd"/>
            <w:r w:rsidRPr="00F23044">
              <w:rPr>
                <w:color w:val="000000"/>
              </w:rPr>
              <w:t xml:space="preserve"> В. Україна і Німеччина у другій світовій війні. – </w:t>
            </w:r>
            <w:proofErr w:type="spellStart"/>
            <w:r w:rsidRPr="00F23044">
              <w:rPr>
                <w:color w:val="000000"/>
              </w:rPr>
              <w:t>Париж-Нью-Йорк-Львів</w:t>
            </w:r>
            <w:proofErr w:type="spellEnd"/>
            <w:r w:rsidRPr="00F23044">
              <w:rPr>
                <w:color w:val="000000"/>
              </w:rPr>
              <w:t>, 1993.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autoSpaceDE w:val="0"/>
              <w:autoSpaceDN w:val="0"/>
              <w:adjustRightInd w:val="0"/>
              <w:spacing w:line="360" w:lineRule="auto"/>
              <w:ind w:left="720" w:hanging="540"/>
              <w:jc w:val="both"/>
              <w:rPr>
                <w:bCs/>
                <w:iCs/>
              </w:rPr>
            </w:pPr>
            <w:proofErr w:type="spellStart"/>
            <w:r w:rsidRPr="00F23044">
              <w:rPr>
                <w:bCs/>
                <w:iCs/>
              </w:rPr>
              <w:t>Красівський</w:t>
            </w:r>
            <w:proofErr w:type="spellEnd"/>
            <w:r w:rsidRPr="00F23044">
              <w:rPr>
                <w:bCs/>
                <w:iCs/>
              </w:rPr>
              <w:t xml:space="preserve"> О., Марчук В. </w:t>
            </w:r>
            <w:r w:rsidRPr="00F23044">
              <w:t xml:space="preserve">Українці в національній політиці Польщі в 20 – 30-х роках ХХ століття // Наукові записки Інституту політичних і </w:t>
            </w:r>
            <w:proofErr w:type="spellStart"/>
            <w:r w:rsidRPr="00F23044">
              <w:t>етнонаціональних</w:t>
            </w:r>
            <w:proofErr w:type="spellEnd"/>
            <w:r w:rsidRPr="00F23044">
              <w:t xml:space="preserve"> досліджень ім. </w:t>
            </w:r>
            <w:r w:rsidR="00F70FAC">
              <w:t>І.Ф. Кураса НАН України, 2006.</w:t>
            </w:r>
            <w:r w:rsidRPr="00F23044">
              <w:t xml:space="preserve"> Серія “Політологія і етнологія”. – Вип. 29.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color w:val="000000"/>
              </w:rPr>
              <w:t>Кугутяк</w:t>
            </w:r>
            <w:proofErr w:type="spellEnd"/>
            <w:r w:rsidRPr="00F23044">
              <w:rPr>
                <w:color w:val="000000"/>
              </w:rPr>
              <w:t xml:space="preserve"> </w:t>
            </w:r>
            <w:r w:rsidR="00F70FAC">
              <w:rPr>
                <w:color w:val="000000"/>
              </w:rPr>
              <w:t>М. Галичина: сторінки історії.</w:t>
            </w:r>
            <w:r w:rsidRPr="00F23044">
              <w:rPr>
                <w:color w:val="000000"/>
              </w:rPr>
              <w:t xml:space="preserve"> Івано-Франківськ, 1993.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/>
              </w:rPr>
            </w:pPr>
            <w:r w:rsidRPr="00F23044">
              <w:rPr>
                <w:bCs/>
                <w:iCs/>
              </w:rPr>
              <w:t>Кучеренко А. А.</w:t>
            </w:r>
            <w:r w:rsidRPr="00F23044">
              <w:t xml:space="preserve"> Українське питання в діяльності намісника Галичини </w:t>
            </w:r>
            <w:proofErr w:type="spellStart"/>
            <w:r w:rsidRPr="00F23044">
              <w:t>Міхала</w:t>
            </w:r>
            <w:proofErr w:type="spellEnd"/>
            <w:r w:rsidRPr="00F23044">
              <w:t xml:space="preserve"> </w:t>
            </w:r>
            <w:proofErr w:type="spellStart"/>
            <w:r w:rsidRPr="00F23044">
              <w:t>Бобжинського</w:t>
            </w:r>
            <w:proofErr w:type="spellEnd"/>
            <w:r w:rsidRPr="00F23044">
              <w:t xml:space="preserve"> (1908–1913 рр.) // Чорноморський літопис. </w:t>
            </w:r>
            <w:r w:rsidRPr="00F23044">
              <w:rPr>
                <w:lang w:eastAsia="uk-UA"/>
              </w:rPr>
              <w:t>–2011. –</w:t>
            </w:r>
            <w:r w:rsidRPr="00F23044">
              <w:t xml:space="preserve"> № 4. </w:t>
            </w:r>
            <w:r w:rsidRPr="00F23044">
              <w:rPr>
                <w:lang w:eastAsia="uk-UA"/>
              </w:rPr>
              <w:t>–</w:t>
            </w:r>
            <w:r w:rsidRPr="00F23044">
              <w:t xml:space="preserve"> C. 22</w:t>
            </w:r>
            <w:r w:rsidRPr="00F23044">
              <w:rPr>
                <w:lang w:eastAsia="uk-UA"/>
              </w:rPr>
              <w:t>–</w:t>
            </w:r>
            <w:r w:rsidRPr="00F23044">
              <w:t>26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t>Лабынцев</w:t>
            </w:r>
            <w:proofErr w:type="spellEnd"/>
            <w:r w:rsidRPr="00F23044">
              <w:t xml:space="preserve"> Ю. А. </w:t>
            </w:r>
            <w:proofErr w:type="spellStart"/>
            <w:r w:rsidRPr="00F23044">
              <w:t>Украинский</w:t>
            </w:r>
            <w:proofErr w:type="spellEnd"/>
            <w:r w:rsidRPr="00F23044">
              <w:t xml:space="preserve"> </w:t>
            </w:r>
            <w:proofErr w:type="spellStart"/>
            <w:r w:rsidRPr="00F23044">
              <w:t>вопрос</w:t>
            </w:r>
            <w:proofErr w:type="spellEnd"/>
            <w:r w:rsidRPr="00F23044">
              <w:t xml:space="preserve"> в </w:t>
            </w:r>
            <w:proofErr w:type="spellStart"/>
            <w:r w:rsidRPr="00F23044">
              <w:t>Российской</w:t>
            </w:r>
            <w:proofErr w:type="spellEnd"/>
            <w:r w:rsidRPr="00F23044">
              <w:t xml:space="preserve"> </w:t>
            </w:r>
            <w:proofErr w:type="spellStart"/>
            <w:r w:rsidRPr="00F23044">
              <w:t>империи</w:t>
            </w:r>
            <w:proofErr w:type="spellEnd"/>
            <w:r w:rsidRPr="00F23044">
              <w:t xml:space="preserve"> (начало ХХ в.) // </w:t>
            </w:r>
            <w:proofErr w:type="spellStart"/>
            <w:r w:rsidRPr="00F23044">
              <w:t>Исследования</w:t>
            </w:r>
            <w:proofErr w:type="spellEnd"/>
            <w:r w:rsidRPr="00F23044">
              <w:t xml:space="preserve"> по </w:t>
            </w:r>
            <w:proofErr w:type="spellStart"/>
            <w:r w:rsidRPr="00F23044">
              <w:t>истории</w:t>
            </w:r>
            <w:proofErr w:type="spellEnd"/>
            <w:r w:rsidRPr="00F23044">
              <w:t xml:space="preserve"> </w:t>
            </w:r>
            <w:proofErr w:type="spellStart"/>
            <w:r w:rsidRPr="00F23044">
              <w:t>Украины</w:t>
            </w:r>
            <w:proofErr w:type="spellEnd"/>
            <w:r w:rsidRPr="00F23044">
              <w:t xml:space="preserve"> и </w:t>
            </w:r>
            <w:proofErr w:type="spellStart"/>
            <w:r w:rsidRPr="00F23044">
              <w:t>Белоруссии</w:t>
            </w:r>
            <w:proofErr w:type="spellEnd"/>
            <w:r w:rsidRPr="00F23044">
              <w:t>. – М., 1995. – С. 111-116.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rPr>
                <w:bCs/>
              </w:rPr>
              <w:t xml:space="preserve">Ми не є українофілами. Польська політична думка про Україну і українців. Антологія текстів / За редакцією: П. Коваля, Я. </w:t>
            </w:r>
            <w:proofErr w:type="spellStart"/>
            <w:r w:rsidRPr="00F23044">
              <w:rPr>
                <w:bCs/>
              </w:rPr>
              <w:t>Олдаковського</w:t>
            </w:r>
            <w:proofErr w:type="spellEnd"/>
            <w:r w:rsidRPr="00F23044">
              <w:rPr>
                <w:bCs/>
              </w:rPr>
              <w:t xml:space="preserve">, М. </w:t>
            </w:r>
            <w:proofErr w:type="spellStart"/>
            <w:r w:rsidRPr="00F23044">
              <w:rPr>
                <w:bCs/>
              </w:rPr>
              <w:t>Зухняк</w:t>
            </w:r>
            <w:proofErr w:type="spellEnd"/>
            <w:r w:rsidRPr="00F23044">
              <w:rPr>
                <w:bCs/>
              </w:rPr>
              <w:t xml:space="preserve">. К.: Вид. дім “Києво-Могилянська академія”, 2012. 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Cs/>
                <w:iCs/>
              </w:rPr>
            </w:pPr>
            <w:proofErr w:type="spellStart"/>
            <w:r w:rsidRPr="00F23044">
              <w:rPr>
                <w:bCs/>
                <w:iCs/>
              </w:rPr>
              <w:t>Нагорняк</w:t>
            </w:r>
            <w:proofErr w:type="spellEnd"/>
            <w:r w:rsidRPr="00F23044">
              <w:rPr>
                <w:bCs/>
                <w:iCs/>
              </w:rPr>
              <w:t xml:space="preserve"> М. </w:t>
            </w:r>
            <w:proofErr w:type="spellStart"/>
            <w:r w:rsidRPr="00F23044">
              <w:rPr>
                <w:bCs/>
                <w:iCs/>
              </w:rPr>
              <w:t>Томаш</w:t>
            </w:r>
            <w:proofErr w:type="spellEnd"/>
            <w:r w:rsidRPr="00F23044">
              <w:rPr>
                <w:bCs/>
                <w:iCs/>
              </w:rPr>
              <w:t xml:space="preserve"> Гаррі </w:t>
            </w:r>
            <w:proofErr w:type="spellStart"/>
            <w:r w:rsidRPr="00F23044">
              <w:rPr>
                <w:bCs/>
                <w:iCs/>
              </w:rPr>
              <w:t>Масарик</w:t>
            </w:r>
            <w:proofErr w:type="spellEnd"/>
            <w:r w:rsidRPr="00F23044">
              <w:rPr>
                <w:bCs/>
                <w:iCs/>
              </w:rPr>
              <w:t xml:space="preserve"> про державотворчі процеси в Україні в І половині ХХ ст. // Політичний менеджмент. – 2005. – № 5. 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color w:val="000000"/>
              </w:rPr>
              <w:t>Несук</w:t>
            </w:r>
            <w:proofErr w:type="spellEnd"/>
            <w:r w:rsidRPr="00F23044">
              <w:rPr>
                <w:color w:val="000000"/>
              </w:rPr>
              <w:t xml:space="preserve"> М., </w:t>
            </w:r>
            <w:proofErr w:type="spellStart"/>
            <w:r w:rsidRPr="00F23044">
              <w:rPr>
                <w:color w:val="000000"/>
              </w:rPr>
              <w:t>Репринцев</w:t>
            </w:r>
            <w:proofErr w:type="spellEnd"/>
            <w:r w:rsidRPr="00F23044">
              <w:rPr>
                <w:color w:val="000000"/>
              </w:rPr>
              <w:t xml:space="preserve"> В., </w:t>
            </w:r>
            <w:proofErr w:type="spellStart"/>
            <w:r w:rsidRPr="00F23044">
              <w:rPr>
                <w:color w:val="000000"/>
              </w:rPr>
              <w:t>Камінський</w:t>
            </w:r>
            <w:proofErr w:type="spellEnd"/>
            <w:r w:rsidRPr="00F23044">
              <w:rPr>
                <w:color w:val="000000"/>
              </w:rPr>
              <w:t xml:space="preserve"> Е. Україна у зарубіжних доктринах та стратегіях </w:t>
            </w:r>
            <w:r w:rsidRPr="00F23044">
              <w:rPr>
                <w:color w:val="000000"/>
                <w:lang w:val="en-US"/>
              </w:rPr>
              <w:t>XX</w:t>
            </w:r>
            <w:r w:rsidRPr="00F23044">
              <w:rPr>
                <w:color w:val="000000"/>
              </w:rPr>
              <w:t xml:space="preserve"> століття // Політична думка. – 1995. – № 2-3.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autoSpaceDE w:val="0"/>
              <w:autoSpaceDN w:val="0"/>
              <w:spacing w:line="360" w:lineRule="auto"/>
              <w:ind w:left="720" w:hanging="540"/>
              <w:jc w:val="both"/>
            </w:pPr>
            <w:r w:rsidRPr="00F23044">
              <w:t>Осадчук Б. Україна, Польща, світ</w:t>
            </w:r>
            <w:r w:rsidR="00F70FAC">
              <w:t>: вибрані репортажі та статті. К., 2001.</w:t>
            </w:r>
            <w:r w:rsidRPr="00F23044">
              <w:t xml:space="preserve"> С.259-265.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Cs/>
                <w:iCs/>
              </w:rPr>
            </w:pPr>
            <w:r w:rsidRPr="00F23044">
              <w:rPr>
                <w:bCs/>
                <w:iCs/>
              </w:rPr>
              <w:t>Павлюк О. Українсько-чехословацька конфедерація? (З історії взаємин України з ЧСР у 1917-19</w:t>
            </w:r>
            <w:r w:rsidR="00F70FAC">
              <w:rPr>
                <w:bCs/>
                <w:iCs/>
              </w:rPr>
              <w:t>21 рр.) // Київська старовина. 1999.</w:t>
            </w:r>
            <w:r w:rsidRPr="00F23044">
              <w:rPr>
                <w:bCs/>
                <w:iCs/>
              </w:rPr>
              <w:t xml:space="preserve"> № 1. 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rPr>
                <w:bCs/>
              </w:rPr>
              <w:t xml:space="preserve">Політична історія України. ХХ ст.: У 6 т. – Т. 1. На зламі століть (кінець ХІХ-1917 р.) – К.: </w:t>
            </w:r>
            <w:proofErr w:type="spellStart"/>
            <w:r w:rsidRPr="00F23044">
              <w:rPr>
                <w:bCs/>
              </w:rPr>
              <w:t>Генеза</w:t>
            </w:r>
            <w:proofErr w:type="spellEnd"/>
            <w:r w:rsidRPr="00F23044">
              <w:rPr>
                <w:bCs/>
              </w:rPr>
              <w:t>, 2002. – 424 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  <w:rPr>
                <w:bCs/>
              </w:rPr>
            </w:pPr>
            <w:r w:rsidRPr="00F23044">
              <w:rPr>
                <w:bCs/>
              </w:rPr>
              <w:t xml:space="preserve">Україна і Росія в історичній ретроспективі: Нариси в 3-х томах / Інститут історії України НАН України; 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t xml:space="preserve">Українська державність у ХХ ст. </w:t>
            </w:r>
            <w:proofErr w:type="spellStart"/>
            <w:r w:rsidRPr="00F23044">
              <w:t>Історико-політологічний</w:t>
            </w:r>
            <w:proofErr w:type="spellEnd"/>
            <w:r w:rsidRPr="00F23044">
              <w:t xml:space="preserve"> аналіз. – К.: Політична думка, 1996. – 448 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t xml:space="preserve">Українське питання в Російській імперії (кінець ХІХ – початок ХХ ст.): в 3-х т. – К., 1999. – Т.3. – С.456. 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t>Українське питання в Російській імперії та Радянському Союзі ( Х</w:t>
            </w:r>
            <w:r w:rsidRPr="00F23044">
              <w:rPr>
                <w:lang w:val="en-US"/>
              </w:rPr>
              <w:t>V</w:t>
            </w:r>
            <w:proofErr w:type="spellStart"/>
            <w:r w:rsidRPr="00F23044">
              <w:t>ІІІ-перша</w:t>
            </w:r>
            <w:proofErr w:type="spellEnd"/>
            <w:r w:rsidRPr="00F23044">
              <w:t xml:space="preserve"> половина ХХ ст.). – Дніпропетровськ, 1998. – 193 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t xml:space="preserve">Українське питання. – К.: Видавництво імені Олени </w:t>
            </w:r>
            <w:proofErr w:type="spellStart"/>
            <w:r w:rsidRPr="00F23044">
              <w:t>Теліги</w:t>
            </w:r>
            <w:proofErr w:type="spellEnd"/>
            <w:r w:rsidRPr="00F23044">
              <w:t>, 1997. – 220 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tabs>
                <w:tab w:val="num" w:pos="180"/>
              </w:tabs>
              <w:spacing w:line="360" w:lineRule="auto"/>
              <w:ind w:left="720" w:hanging="540"/>
              <w:jc w:val="both"/>
            </w:pPr>
            <w:r w:rsidRPr="00F23044">
              <w:rPr>
                <w:color w:val="000000"/>
              </w:rPr>
              <w:lastRenderedPageBreak/>
              <w:t xml:space="preserve">Український вибір: політичні системи ХХ століття і пошук власної моделі суспільного розвитку / В. </w:t>
            </w:r>
            <w:proofErr w:type="spellStart"/>
            <w:r w:rsidRPr="00F23044">
              <w:rPr>
                <w:color w:val="000000"/>
              </w:rPr>
              <w:t>Солдатенко</w:t>
            </w:r>
            <w:proofErr w:type="spellEnd"/>
            <w:r w:rsidRPr="00F23044">
              <w:rPr>
                <w:color w:val="000000"/>
              </w:rPr>
              <w:t xml:space="preserve"> (керівник). – К., 2007. – 576 с.</w:t>
            </w:r>
          </w:p>
          <w:p w:rsidR="00FB2921" w:rsidRPr="00F23044" w:rsidRDefault="00FB2921" w:rsidP="00FB292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lang w:eastAsia="uk-UA"/>
              </w:rPr>
              <w:t>Чекаленко</w:t>
            </w:r>
            <w:proofErr w:type="spellEnd"/>
            <w:r w:rsidRPr="00F23044">
              <w:rPr>
                <w:lang w:eastAsia="uk-UA"/>
              </w:rPr>
              <w:t xml:space="preserve"> Л</w:t>
            </w:r>
            <w:r w:rsidRPr="00F23044">
              <w:t xml:space="preserve"> </w:t>
            </w:r>
            <w:r w:rsidRPr="00F23044">
              <w:rPr>
                <w:lang w:eastAsia="uk-UA"/>
              </w:rPr>
              <w:t>Зовнішня політика України</w:t>
            </w:r>
            <w:r w:rsidRPr="00F23044">
              <w:tab/>
            </w:r>
            <w:r w:rsidRPr="00F23044">
              <w:rPr>
                <w:lang w:eastAsia="uk-UA"/>
              </w:rPr>
              <w:t>К.. 2006.</w:t>
            </w:r>
          </w:p>
          <w:p w:rsidR="001A1C9C" w:rsidRPr="00F23044" w:rsidRDefault="00FB2921" w:rsidP="00D15DC1">
            <w:pPr>
              <w:numPr>
                <w:ilvl w:val="0"/>
                <w:numId w:val="5"/>
              </w:numPr>
              <w:shd w:val="clear" w:color="auto" w:fill="FFFFFF"/>
              <w:tabs>
                <w:tab w:val="num" w:pos="180"/>
              </w:tabs>
              <w:spacing w:line="360" w:lineRule="auto"/>
              <w:ind w:left="720" w:hanging="540"/>
              <w:jc w:val="both"/>
            </w:pPr>
            <w:proofErr w:type="spellStart"/>
            <w:r w:rsidRPr="00F23044">
              <w:rPr>
                <w:bCs/>
                <w:iCs/>
              </w:rPr>
              <w:t>Шульгин</w:t>
            </w:r>
            <w:proofErr w:type="spellEnd"/>
            <w:r w:rsidRPr="00F23044">
              <w:rPr>
                <w:bCs/>
                <w:iCs/>
              </w:rPr>
              <w:t xml:space="preserve"> О. Т.Г. </w:t>
            </w:r>
            <w:proofErr w:type="spellStart"/>
            <w:r w:rsidRPr="00F23044">
              <w:rPr>
                <w:bCs/>
                <w:iCs/>
              </w:rPr>
              <w:t>Масарик</w:t>
            </w:r>
            <w:proofErr w:type="spellEnd"/>
            <w:r w:rsidRPr="00F23044">
              <w:rPr>
                <w:bCs/>
                <w:iCs/>
              </w:rPr>
              <w:t xml:space="preserve"> та Україна // </w:t>
            </w:r>
            <w:proofErr w:type="spellStart"/>
            <w:r w:rsidRPr="00F23044">
              <w:rPr>
                <w:bCs/>
                <w:iCs/>
              </w:rPr>
              <w:t>Хроніка</w:t>
            </w:r>
            <w:proofErr w:type="spellEnd"/>
            <w:r w:rsidRPr="00F23044">
              <w:rPr>
                <w:bCs/>
                <w:iCs/>
              </w:rPr>
              <w:t>. 2000. – 1999. – Ч. 1.</w:t>
            </w:r>
          </w:p>
        </w:tc>
      </w:tr>
    </w:tbl>
    <w:p w:rsidR="001A1C9C" w:rsidRPr="00784AB3" w:rsidRDefault="001A1C9C" w:rsidP="001A1C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Викладач </w:t>
      </w:r>
      <w:r w:rsidR="00DD7AA9">
        <w:rPr>
          <w:b/>
          <w:sz w:val="28"/>
          <w:szCs w:val="28"/>
          <w:lang w:val="uk-UA"/>
        </w:rPr>
        <w:t xml:space="preserve">кандидатка історичних наук, </w:t>
      </w:r>
      <w:proofErr w:type="spellStart"/>
      <w:r w:rsidR="00DD7AA9">
        <w:rPr>
          <w:b/>
          <w:sz w:val="28"/>
          <w:szCs w:val="28"/>
          <w:lang w:val="uk-UA"/>
        </w:rPr>
        <w:t>доцент</w:t>
      </w:r>
      <w:r w:rsidR="00FB2921">
        <w:rPr>
          <w:b/>
          <w:sz w:val="28"/>
          <w:szCs w:val="28"/>
          <w:lang w:val="uk-UA"/>
        </w:rPr>
        <w:t>к</w:t>
      </w:r>
      <w:r w:rsidR="00DD7AA9">
        <w:rPr>
          <w:b/>
          <w:sz w:val="28"/>
          <w:szCs w:val="28"/>
          <w:lang w:val="uk-UA"/>
        </w:rPr>
        <w:t>а</w:t>
      </w:r>
      <w:proofErr w:type="spellEnd"/>
      <w:r w:rsidR="00DD7AA9">
        <w:rPr>
          <w:b/>
          <w:sz w:val="28"/>
          <w:szCs w:val="28"/>
          <w:lang w:val="uk-UA"/>
        </w:rPr>
        <w:t xml:space="preserve"> </w:t>
      </w:r>
      <w:proofErr w:type="spellStart"/>
      <w:r w:rsidR="00DD7AA9">
        <w:rPr>
          <w:b/>
          <w:sz w:val="28"/>
          <w:szCs w:val="28"/>
          <w:lang w:val="uk-UA"/>
        </w:rPr>
        <w:t>Щербін</w:t>
      </w:r>
      <w:proofErr w:type="spellEnd"/>
      <w:r w:rsidR="00DD7AA9">
        <w:rPr>
          <w:b/>
          <w:sz w:val="28"/>
          <w:szCs w:val="28"/>
          <w:lang w:val="uk-UA"/>
        </w:rPr>
        <w:t xml:space="preserve"> Л.В. </w:t>
      </w:r>
    </w:p>
    <w:p w:rsidR="001F0A69" w:rsidRDefault="001F0A69"/>
    <w:sectPr w:rsidR="001F0A69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6405F7"/>
    <w:multiLevelType w:val="hybridMultilevel"/>
    <w:tmpl w:val="E9784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8D25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570E4"/>
    <w:multiLevelType w:val="hybridMultilevel"/>
    <w:tmpl w:val="C8A018A8"/>
    <w:lvl w:ilvl="0" w:tplc="60D89C56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B0D1B3E"/>
    <w:multiLevelType w:val="hybridMultilevel"/>
    <w:tmpl w:val="DDD6FCF6"/>
    <w:lvl w:ilvl="0" w:tplc="2996B8A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A4533"/>
    <w:multiLevelType w:val="hybridMultilevel"/>
    <w:tmpl w:val="13EC9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A6"/>
    <w:rsid w:val="00070521"/>
    <w:rsid w:val="001A1C9C"/>
    <w:rsid w:val="001F0A69"/>
    <w:rsid w:val="004F7005"/>
    <w:rsid w:val="00507D2D"/>
    <w:rsid w:val="007E7E61"/>
    <w:rsid w:val="00867AD9"/>
    <w:rsid w:val="00A015DF"/>
    <w:rsid w:val="00CB78A6"/>
    <w:rsid w:val="00CC5E9F"/>
    <w:rsid w:val="00D15DC1"/>
    <w:rsid w:val="00DD7AA9"/>
    <w:rsid w:val="00E909AB"/>
    <w:rsid w:val="00F23044"/>
    <w:rsid w:val="00F70FAC"/>
    <w:rsid w:val="00F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1C9C"/>
    <w:pPr>
      <w:spacing w:after="0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1A1C9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1A1C9C"/>
    <w:rPr>
      <w:i/>
      <w:iCs/>
      <w:color w:val="808080" w:themeColor="text1" w:themeTint="7F"/>
    </w:rPr>
  </w:style>
  <w:style w:type="paragraph" w:customStyle="1" w:styleId="10">
    <w:name w:val="1"/>
    <w:basedOn w:val="a"/>
    <w:rsid w:val="00E909AB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E909AB"/>
    <w:rPr>
      <w:rFonts w:cs="Times New Roman"/>
      <w:color w:val="0000FF"/>
      <w:u w:val="single"/>
    </w:rPr>
  </w:style>
  <w:style w:type="character" w:customStyle="1" w:styleId="6">
    <w:name w:val="Основной текст (6) + Не полужирный"/>
    <w:basedOn w:val="a0"/>
    <w:rsid w:val="00A015DF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1C9C"/>
    <w:pPr>
      <w:spacing w:after="0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1A1C9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1A1C9C"/>
    <w:rPr>
      <w:i/>
      <w:iCs/>
      <w:color w:val="808080" w:themeColor="text1" w:themeTint="7F"/>
    </w:rPr>
  </w:style>
  <w:style w:type="paragraph" w:customStyle="1" w:styleId="10">
    <w:name w:val="1"/>
    <w:basedOn w:val="a"/>
    <w:rsid w:val="00E909AB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E909AB"/>
    <w:rPr>
      <w:rFonts w:cs="Times New Roman"/>
      <w:color w:val="0000FF"/>
      <w:u w:val="single"/>
    </w:rPr>
  </w:style>
  <w:style w:type="character" w:customStyle="1" w:styleId="6">
    <w:name w:val="Основной текст (6) + Не полужирный"/>
    <w:basedOn w:val="a0"/>
    <w:rsid w:val="00A015DF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2021-03-13T00:28:00Z</dcterms:created>
  <dcterms:modified xsi:type="dcterms:W3CDTF">2021-03-15T01:42:00Z</dcterms:modified>
</cp:coreProperties>
</file>