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74" w:rsidRDefault="00AB7874" w:rsidP="00AB7874">
      <w:pPr>
        <w:pStyle w:val="a3"/>
        <w:spacing w:line="240" w:lineRule="auto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 xml:space="preserve">ПРОГРАМОВІ ВИМОГИ </w:t>
      </w:r>
    </w:p>
    <w:p w:rsidR="00AB7874" w:rsidRDefault="00AB7874" w:rsidP="00AB7874">
      <w:pPr>
        <w:jc w:val="center"/>
        <w:rPr>
          <w:b/>
          <w:sz w:val="24"/>
        </w:rPr>
      </w:pPr>
      <w:r>
        <w:rPr>
          <w:b/>
          <w:sz w:val="24"/>
        </w:rPr>
        <w:t>З НОВІТНЬОЇ ІСТОРІЇ КРАЇН ЗАХІДНОЇ ЄВРОПИ І АМЕРИКИ (1918</w:t>
      </w:r>
      <w:r>
        <w:rPr>
          <w:sz w:val="24"/>
        </w:rPr>
        <w:t>–</w:t>
      </w:r>
      <w:r w:rsidR="00651F7B">
        <w:rPr>
          <w:b/>
          <w:sz w:val="24"/>
        </w:rPr>
        <w:t>2019</w:t>
      </w:r>
      <w:r>
        <w:rPr>
          <w:b/>
          <w:sz w:val="24"/>
        </w:rPr>
        <w:t xml:space="preserve"> рр.)</w:t>
      </w:r>
    </w:p>
    <w:bookmarkEnd w:id="0"/>
    <w:p w:rsidR="00AB7874" w:rsidRPr="00AB7874" w:rsidRDefault="00AB7874" w:rsidP="00AB7874">
      <w:pPr>
        <w:spacing w:before="300" w:line="360" w:lineRule="auto"/>
        <w:jc w:val="both"/>
        <w:rPr>
          <w:szCs w:val="28"/>
        </w:rPr>
      </w:pPr>
      <w:r>
        <w:rPr>
          <w:sz w:val="24"/>
        </w:rPr>
        <w:t>1</w:t>
      </w:r>
      <w:r w:rsidRPr="00AB7874">
        <w:rPr>
          <w:szCs w:val="28"/>
        </w:rPr>
        <w:t>. Німецька революція 1918–1919 рр., її демократичні завоювання.</w:t>
      </w:r>
    </w:p>
    <w:p w:rsidR="00AB7874" w:rsidRPr="00AB7874" w:rsidRDefault="00AB7874" w:rsidP="00AB7874">
      <w:pPr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AB7874">
        <w:rPr>
          <w:szCs w:val="28"/>
        </w:rPr>
        <w:t xml:space="preserve">Націонал-соціалістська диктатура в Німеччині: ліквідація ладу парламентської демократії, принцип </w:t>
      </w:r>
      <w:proofErr w:type="spellStart"/>
      <w:r w:rsidRPr="00AB7874">
        <w:rPr>
          <w:szCs w:val="28"/>
        </w:rPr>
        <w:t>фюрерства</w:t>
      </w:r>
      <w:proofErr w:type="spellEnd"/>
      <w:r w:rsidRPr="00AB7874">
        <w:rPr>
          <w:szCs w:val="28"/>
        </w:rPr>
        <w:t>, тоталітарно-фашистська модель державного регулювання (1933 – 1939 рр.).</w:t>
      </w:r>
    </w:p>
    <w:p w:rsidR="00AB7874" w:rsidRPr="00AB7874" w:rsidRDefault="00AB7874" w:rsidP="00AB7874">
      <w:pPr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AB7874">
        <w:rPr>
          <w:szCs w:val="28"/>
        </w:rPr>
        <w:t>Фашистська диктатура в Італії: внутрішня і зовнішня політика (1922–1939 рр.).</w:t>
      </w:r>
    </w:p>
    <w:p w:rsidR="00AB7874" w:rsidRPr="00AB7874" w:rsidRDefault="00AB7874" w:rsidP="00AB7874">
      <w:pPr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AB7874">
        <w:rPr>
          <w:szCs w:val="28"/>
        </w:rPr>
        <w:t xml:space="preserve"> “Новий курс” Ф.Д.Рузвельта в США як класичний зразок ліберально-реформістського варіанту державного регулювання економіки (1933–1938 рр.).</w:t>
      </w:r>
    </w:p>
    <w:p w:rsidR="00AB7874" w:rsidRPr="00AB7874" w:rsidRDefault="00AB7874" w:rsidP="00AB7874">
      <w:pPr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AB7874">
        <w:rPr>
          <w:szCs w:val="28"/>
        </w:rPr>
        <w:t>Народний фронт у Франції (1934 – 1938 рр.).</w:t>
      </w:r>
    </w:p>
    <w:p w:rsidR="00AB7874" w:rsidRPr="00AB7874" w:rsidRDefault="00AB7874" w:rsidP="00AB7874">
      <w:pPr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AB7874">
        <w:rPr>
          <w:szCs w:val="28"/>
        </w:rPr>
        <w:t>Передвоєнна політична криза в Європі 1939 р.</w:t>
      </w:r>
    </w:p>
    <w:p w:rsidR="00AB7874" w:rsidRPr="00AB7874" w:rsidRDefault="00AB7874" w:rsidP="00AB7874">
      <w:pPr>
        <w:numPr>
          <w:ilvl w:val="0"/>
          <w:numId w:val="1"/>
        </w:numPr>
        <w:spacing w:line="360" w:lineRule="auto"/>
        <w:jc w:val="both"/>
        <w:rPr>
          <w:szCs w:val="28"/>
          <w:lang w:val="ru-RU"/>
        </w:rPr>
      </w:pPr>
      <w:r w:rsidRPr="00AB7874">
        <w:rPr>
          <w:szCs w:val="28"/>
        </w:rPr>
        <w:t>«Дивна війна» на Західному фронті. Наступ Німеччини. Поразка Франції ( 22 червня 1940 р.).</w:t>
      </w:r>
    </w:p>
    <w:p w:rsidR="00AB7874" w:rsidRPr="00AB7874" w:rsidRDefault="00AB7874" w:rsidP="00AB7874">
      <w:pPr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AB7874">
        <w:rPr>
          <w:szCs w:val="28"/>
        </w:rPr>
        <w:t>Створення антигітлерівської коаліції в роки Другої світової війни.</w:t>
      </w:r>
    </w:p>
    <w:p w:rsidR="00AB7874" w:rsidRPr="00AB7874" w:rsidRDefault="00AB7874" w:rsidP="00AB7874">
      <w:pPr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AB7874">
        <w:rPr>
          <w:szCs w:val="28"/>
        </w:rPr>
        <w:t>Кримська (Ялтинська) та Берлінська (Потсдамська) конференції. Підсумки війни в Європі.</w:t>
      </w:r>
    </w:p>
    <w:p w:rsidR="00AB7874" w:rsidRPr="00AB7874" w:rsidRDefault="00AB7874" w:rsidP="00AB7874">
      <w:pPr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AB7874">
        <w:rPr>
          <w:szCs w:val="28"/>
        </w:rPr>
        <w:t>Післявоєнне мирне врегулювання в Європі. Мирні договори 1947 р.</w:t>
      </w:r>
    </w:p>
    <w:p w:rsidR="00AB7874" w:rsidRPr="00AB7874" w:rsidRDefault="00AB7874" w:rsidP="00AB7874">
      <w:pPr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AB7874">
        <w:rPr>
          <w:szCs w:val="28"/>
        </w:rPr>
        <w:t>Проблеми економічного, суспільно-політичного розвитку Німеччини після закінчення Другої світової війни. Розкол  Німеччини, утворення двох держав на німецькій землі: ФРН і НДР (1945 – 1949 рр.).</w:t>
      </w:r>
    </w:p>
    <w:p w:rsidR="00AB7874" w:rsidRPr="00AB7874" w:rsidRDefault="00AB7874" w:rsidP="00AB7874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jc w:val="both"/>
        <w:rPr>
          <w:szCs w:val="28"/>
        </w:rPr>
      </w:pPr>
      <w:r w:rsidRPr="00AB7874">
        <w:rPr>
          <w:szCs w:val="28"/>
        </w:rPr>
        <w:t>"Економічне диво" у ФРН і його причини (50-ті рр. XX ст.). Доктрина "соціального ринкового господарства".</w:t>
      </w:r>
    </w:p>
    <w:p w:rsidR="00AB7874" w:rsidRPr="00AB7874" w:rsidRDefault="00AB7874" w:rsidP="00AB7874">
      <w:pPr>
        <w:numPr>
          <w:ilvl w:val="0"/>
          <w:numId w:val="1"/>
        </w:numPr>
        <w:spacing w:line="360" w:lineRule="auto"/>
        <w:jc w:val="both"/>
        <w:rPr>
          <w:szCs w:val="28"/>
        </w:rPr>
      </w:pPr>
      <w:proofErr w:type="spellStart"/>
      <w:r w:rsidRPr="00AB7874">
        <w:rPr>
          <w:szCs w:val="28"/>
        </w:rPr>
        <w:t>Канцлерство</w:t>
      </w:r>
      <w:proofErr w:type="spellEnd"/>
      <w:r w:rsidRPr="00AB7874">
        <w:rPr>
          <w:szCs w:val="28"/>
        </w:rPr>
        <w:t xml:space="preserve"> Х.Коля (1982–1998 рр.).</w:t>
      </w:r>
    </w:p>
    <w:p w:rsidR="00AB7874" w:rsidRPr="00AB7874" w:rsidRDefault="00AB7874" w:rsidP="00AB7874">
      <w:pPr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AB7874">
        <w:rPr>
          <w:szCs w:val="28"/>
        </w:rPr>
        <w:t>Соціально-економічне і політичне становище у східнонімецьких землях у кінці 80-х рр. Об'єднання Німеччини (1990 р.).</w:t>
      </w:r>
    </w:p>
    <w:p w:rsidR="00AB7874" w:rsidRPr="00AB7874" w:rsidRDefault="00AB7874" w:rsidP="00AB7874">
      <w:pPr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AB7874">
        <w:rPr>
          <w:szCs w:val="28"/>
        </w:rPr>
        <w:t>Президентські вибори 1980 р. Консервативні основи економічної і соціальної політики уряду республіканця Р.Рейгана (1981–1988 рр.).</w:t>
      </w:r>
    </w:p>
    <w:p w:rsidR="00AB7874" w:rsidRPr="00AB7874" w:rsidRDefault="00AB7874" w:rsidP="00AB7874">
      <w:pPr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AB7874">
        <w:rPr>
          <w:szCs w:val="28"/>
        </w:rPr>
        <w:t>Президентські вибори 1992 р. Внутрішня і зовнішня політика адміністрації президента Б.Клінтона (1993–2000 рр.).</w:t>
      </w:r>
    </w:p>
    <w:p w:rsidR="00AB7874" w:rsidRPr="00AB7874" w:rsidRDefault="00AB7874" w:rsidP="00AB7874">
      <w:pPr>
        <w:numPr>
          <w:ilvl w:val="0"/>
          <w:numId w:val="1"/>
        </w:numPr>
        <w:spacing w:line="360" w:lineRule="auto"/>
        <w:jc w:val="both"/>
        <w:rPr>
          <w:szCs w:val="28"/>
          <w:lang w:val="ru-RU"/>
        </w:rPr>
      </w:pPr>
      <w:r w:rsidRPr="00AB7874">
        <w:rPr>
          <w:szCs w:val="28"/>
        </w:rPr>
        <w:lastRenderedPageBreak/>
        <w:t>Консервативний кабінет М.Тетчер. "</w:t>
      </w:r>
      <w:proofErr w:type="spellStart"/>
      <w:r w:rsidRPr="00AB7874">
        <w:rPr>
          <w:szCs w:val="28"/>
        </w:rPr>
        <w:t>Тетчеризм</w:t>
      </w:r>
      <w:proofErr w:type="spellEnd"/>
      <w:r w:rsidRPr="00AB7874">
        <w:rPr>
          <w:szCs w:val="28"/>
        </w:rPr>
        <w:t>". Теоретичні основи соціально-економічної стратегії консерваторів (</w:t>
      </w:r>
      <w:proofErr w:type="spellStart"/>
      <w:r w:rsidRPr="00AB7874">
        <w:rPr>
          <w:szCs w:val="28"/>
        </w:rPr>
        <w:t>монетаризм</w:t>
      </w:r>
      <w:proofErr w:type="spellEnd"/>
      <w:r w:rsidRPr="00AB7874">
        <w:rPr>
          <w:szCs w:val="28"/>
        </w:rPr>
        <w:t>). Зовнішня політика (1979–1990 рр.)</w:t>
      </w:r>
    </w:p>
    <w:p w:rsidR="00AB7874" w:rsidRPr="00AB7874" w:rsidRDefault="00AB7874" w:rsidP="00AB7874">
      <w:pPr>
        <w:numPr>
          <w:ilvl w:val="0"/>
          <w:numId w:val="1"/>
        </w:numPr>
        <w:spacing w:line="360" w:lineRule="auto"/>
        <w:jc w:val="both"/>
        <w:rPr>
          <w:szCs w:val="28"/>
          <w:lang w:val="ru-RU"/>
        </w:rPr>
      </w:pPr>
      <w:proofErr w:type="spellStart"/>
      <w:r w:rsidRPr="00AB7874">
        <w:rPr>
          <w:szCs w:val="28"/>
        </w:rPr>
        <w:t>Канцлерство</w:t>
      </w:r>
      <w:proofErr w:type="spellEnd"/>
      <w:r w:rsidRPr="00AB7874">
        <w:rPr>
          <w:szCs w:val="28"/>
        </w:rPr>
        <w:t xml:space="preserve"> А. Меркель.</w:t>
      </w:r>
    </w:p>
    <w:p w:rsidR="00AB7874" w:rsidRPr="00AB7874" w:rsidRDefault="00AB7874" w:rsidP="00AB7874">
      <w:pPr>
        <w:numPr>
          <w:ilvl w:val="0"/>
          <w:numId w:val="1"/>
        </w:numPr>
        <w:spacing w:line="360" w:lineRule="auto"/>
        <w:jc w:val="both"/>
        <w:rPr>
          <w:szCs w:val="28"/>
          <w:lang w:val="ru-RU"/>
        </w:rPr>
      </w:pPr>
      <w:r w:rsidRPr="00AB7874">
        <w:rPr>
          <w:szCs w:val="28"/>
        </w:rPr>
        <w:t>Тимчасовий режим у Франції (1944 – 1946 рр.).</w:t>
      </w:r>
    </w:p>
    <w:p w:rsidR="00AB7874" w:rsidRPr="00AB7874" w:rsidRDefault="00AB7874" w:rsidP="00AB7874">
      <w:pPr>
        <w:numPr>
          <w:ilvl w:val="0"/>
          <w:numId w:val="1"/>
        </w:numPr>
        <w:spacing w:line="360" w:lineRule="auto"/>
        <w:jc w:val="both"/>
        <w:rPr>
          <w:szCs w:val="28"/>
          <w:lang w:val="ru-RU"/>
        </w:rPr>
      </w:pPr>
      <w:r w:rsidRPr="00AB7874">
        <w:rPr>
          <w:szCs w:val="28"/>
          <w:lang w:val="en-US"/>
        </w:rPr>
        <w:t>IV</w:t>
      </w:r>
      <w:r w:rsidRPr="00AB7874">
        <w:rPr>
          <w:szCs w:val="28"/>
        </w:rPr>
        <w:t xml:space="preserve"> Республіка у Франції (1946 – 1958 рр.).</w:t>
      </w:r>
    </w:p>
    <w:p w:rsidR="00AB7874" w:rsidRPr="00AB7874" w:rsidRDefault="00AB7874" w:rsidP="00AB7874">
      <w:pPr>
        <w:numPr>
          <w:ilvl w:val="0"/>
          <w:numId w:val="1"/>
        </w:numPr>
        <w:spacing w:line="360" w:lineRule="auto"/>
        <w:jc w:val="both"/>
        <w:rPr>
          <w:szCs w:val="28"/>
          <w:lang w:val="ru-RU"/>
        </w:rPr>
      </w:pPr>
      <w:r w:rsidRPr="00AB7874">
        <w:rPr>
          <w:szCs w:val="28"/>
          <w:lang w:val="ru-RU"/>
        </w:rPr>
        <w:t xml:space="preserve">Канцлерство Г. Шредера (1998 – 2002 </w:t>
      </w:r>
      <w:proofErr w:type="spellStart"/>
      <w:r w:rsidRPr="00AB7874">
        <w:rPr>
          <w:szCs w:val="28"/>
          <w:lang w:val="ru-RU"/>
        </w:rPr>
        <w:t>рр</w:t>
      </w:r>
      <w:proofErr w:type="spellEnd"/>
      <w:r w:rsidRPr="00AB7874">
        <w:rPr>
          <w:szCs w:val="28"/>
          <w:lang w:val="ru-RU"/>
        </w:rPr>
        <w:t xml:space="preserve">., 2002 – 2005 </w:t>
      </w:r>
      <w:proofErr w:type="spellStart"/>
      <w:r w:rsidRPr="00AB7874">
        <w:rPr>
          <w:szCs w:val="28"/>
          <w:lang w:val="ru-RU"/>
        </w:rPr>
        <w:t>рр</w:t>
      </w:r>
      <w:proofErr w:type="spellEnd"/>
      <w:r w:rsidRPr="00AB7874">
        <w:rPr>
          <w:szCs w:val="28"/>
          <w:lang w:val="ru-RU"/>
        </w:rPr>
        <w:t>.).</w:t>
      </w:r>
    </w:p>
    <w:p w:rsidR="00AB7874" w:rsidRPr="00AB7874" w:rsidRDefault="00AB7874" w:rsidP="00AB7874">
      <w:pPr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AB7874">
        <w:rPr>
          <w:szCs w:val="28"/>
        </w:rPr>
        <w:t>Президентство Шарля де Голля (1958 – 1968 рр.) Посилення ролі держави в економіці і соціальній сфері. Референдум 27 квітня 1969 р.</w:t>
      </w:r>
    </w:p>
    <w:p w:rsidR="00AB7874" w:rsidRPr="00AB7874" w:rsidRDefault="00AB7874" w:rsidP="00AB7874">
      <w:pPr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AB7874">
        <w:rPr>
          <w:szCs w:val="28"/>
        </w:rPr>
        <w:t>Франція в умовах сучасних інтеграційних світових процесів.</w:t>
      </w:r>
    </w:p>
    <w:p w:rsidR="00AB7874" w:rsidRPr="00AB7874" w:rsidRDefault="00AB7874" w:rsidP="00AB7874">
      <w:pPr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AB7874">
        <w:rPr>
          <w:szCs w:val="28"/>
        </w:rPr>
        <w:t>Канада 60–90-х рр. XX – поч. ХХІ ст. Національне питання.</w:t>
      </w:r>
    </w:p>
    <w:p w:rsidR="00AB7874" w:rsidRPr="00AB7874" w:rsidRDefault="00AB7874" w:rsidP="00AB7874">
      <w:pPr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AB7874">
        <w:rPr>
          <w:szCs w:val="28"/>
        </w:rPr>
        <w:t>Міжнародні відносини у другій половині 80-х рр. ХХ ст. Закінчення «холодної війни».</w:t>
      </w:r>
    </w:p>
    <w:p w:rsidR="00AB7874" w:rsidRPr="00AB7874" w:rsidRDefault="00AB7874" w:rsidP="00AB7874">
      <w:pPr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AB7874">
        <w:rPr>
          <w:szCs w:val="28"/>
        </w:rPr>
        <w:t>Особливості у розвитку освіти, гуманітарних наук, літератури і мистецтва міжвоєнного періоду (1918 – 1939 рр.).</w:t>
      </w:r>
    </w:p>
    <w:p w:rsidR="00AB7874" w:rsidRPr="00AB7874" w:rsidRDefault="00AB7874" w:rsidP="00AB7874">
      <w:pPr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AB7874">
        <w:rPr>
          <w:szCs w:val="28"/>
        </w:rPr>
        <w:t>Основні досягнення науки і техніки у другій половині ХХ – на початку ХХІ ст. як фактор розвитку світової культури.</w:t>
      </w:r>
    </w:p>
    <w:p w:rsidR="00AB7874" w:rsidRPr="00AB7874" w:rsidRDefault="00AB7874" w:rsidP="00AB7874">
      <w:pPr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AB7874">
        <w:rPr>
          <w:szCs w:val="28"/>
        </w:rPr>
        <w:t>Розвиток США кінця ХХ – початку ХХІ ст.: особливості внутрішньої політики.</w:t>
      </w:r>
    </w:p>
    <w:p w:rsidR="00AB7874" w:rsidRPr="00AB7874" w:rsidRDefault="00AB7874" w:rsidP="00AB7874">
      <w:pPr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AB7874">
        <w:rPr>
          <w:szCs w:val="28"/>
        </w:rPr>
        <w:t>Геополітичне лідерство США початку ХХІ ст.: об’єктивна обумовленість чи випадковість.</w:t>
      </w:r>
    </w:p>
    <w:p w:rsidR="00AB7874" w:rsidRPr="00AB7874" w:rsidRDefault="00AB7874" w:rsidP="00AB7874">
      <w:pPr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AB7874">
        <w:rPr>
          <w:szCs w:val="28"/>
        </w:rPr>
        <w:t xml:space="preserve">Великобританія в умовах центробіжних тенденцій сучасного світу: роль в НАТО, євроінтеграція, </w:t>
      </w:r>
      <w:proofErr w:type="spellStart"/>
      <w:r w:rsidRPr="00AB7874">
        <w:rPr>
          <w:szCs w:val="28"/>
        </w:rPr>
        <w:t>брекзіт</w:t>
      </w:r>
      <w:proofErr w:type="spellEnd"/>
      <w:r w:rsidRPr="00AB7874">
        <w:rPr>
          <w:szCs w:val="28"/>
        </w:rPr>
        <w:t>.</w:t>
      </w:r>
    </w:p>
    <w:p w:rsidR="00AB7874" w:rsidRPr="00AB7874" w:rsidRDefault="00AB7874" w:rsidP="00AB7874">
      <w:pPr>
        <w:spacing w:line="360" w:lineRule="auto"/>
        <w:jc w:val="center"/>
        <w:rPr>
          <w:b/>
          <w:szCs w:val="28"/>
        </w:rPr>
      </w:pPr>
    </w:p>
    <w:p w:rsidR="006F5BB1" w:rsidRPr="00AB7874" w:rsidRDefault="006F5BB1" w:rsidP="00AB7874">
      <w:pPr>
        <w:spacing w:line="360" w:lineRule="auto"/>
        <w:rPr>
          <w:szCs w:val="28"/>
        </w:rPr>
      </w:pPr>
    </w:p>
    <w:sectPr w:rsidR="006F5BB1" w:rsidRPr="00AB78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61EAE"/>
    <w:multiLevelType w:val="singleLevel"/>
    <w:tmpl w:val="8FBA4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D6E3600"/>
    <w:multiLevelType w:val="singleLevel"/>
    <w:tmpl w:val="8FBA48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874"/>
    <w:rsid w:val="00651F7B"/>
    <w:rsid w:val="006F5BB1"/>
    <w:rsid w:val="00AB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7874"/>
    <w:pPr>
      <w:widowControl w:val="0"/>
      <w:spacing w:before="60" w:line="360" w:lineRule="auto"/>
      <w:ind w:right="400"/>
      <w:jc w:val="both"/>
    </w:pPr>
    <w:rPr>
      <w:snapToGrid w:val="0"/>
    </w:rPr>
  </w:style>
  <w:style w:type="character" w:customStyle="1" w:styleId="a4">
    <w:name w:val="Основной текст Знак"/>
    <w:basedOn w:val="a0"/>
    <w:link w:val="a3"/>
    <w:rsid w:val="00AB787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78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787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7874"/>
    <w:pPr>
      <w:widowControl w:val="0"/>
      <w:spacing w:before="60" w:line="360" w:lineRule="auto"/>
      <w:ind w:right="400"/>
      <w:jc w:val="both"/>
    </w:pPr>
    <w:rPr>
      <w:snapToGrid w:val="0"/>
    </w:rPr>
  </w:style>
  <w:style w:type="character" w:customStyle="1" w:styleId="a4">
    <w:name w:val="Основной текст Знак"/>
    <w:basedOn w:val="a0"/>
    <w:link w:val="a3"/>
    <w:rsid w:val="00AB787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78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78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1782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Admin</cp:lastModifiedBy>
  <cp:revision>3</cp:revision>
  <cp:lastPrinted>2018-11-01T10:22:00Z</cp:lastPrinted>
  <dcterms:created xsi:type="dcterms:W3CDTF">2018-11-01T10:21:00Z</dcterms:created>
  <dcterms:modified xsi:type="dcterms:W3CDTF">2019-11-18T07:20:00Z</dcterms:modified>
</cp:coreProperties>
</file>