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7C3" w:rsidRDefault="00660F4A" w:rsidP="00715D65">
      <w:pPr>
        <w:spacing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  <w:sectPr w:rsidR="000867C3">
          <w:pgSz w:w="11909" w:h="16834"/>
          <w:pgMar w:top="1133" w:right="720" w:bottom="823" w:left="17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color w:val="00000A"/>
          <w:sz w:val="28"/>
          <w:szCs w:val="28"/>
          <w:lang w:val="uk-UA"/>
        </w:rPr>
        <w:drawing>
          <wp:inline distT="0" distB="0" distL="0" distR="0">
            <wp:extent cx="6025515" cy="8293944"/>
            <wp:effectExtent l="0" t="0" r="0" b="0"/>
            <wp:docPr id="1" name="Рисунок 1" descr="C:\Users\Admin\Downloads\7 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7 001 (1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515" cy="8293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867C3" w:rsidRDefault="00275E8A" w:rsidP="00715D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Програма підвищення кваліфікації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педагогічних (науково-педагогічних) працівників закладів</w:t>
      </w:r>
    </w:p>
    <w:p w:rsidR="009F2E38" w:rsidRPr="009F2E38" w:rsidRDefault="009F2E38" w:rsidP="00715D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F2E38" w:rsidRDefault="000D7AAA" w:rsidP="00715D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2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</w:t>
      </w:r>
      <w:proofErr w:type="spellStart"/>
      <w:r w:rsidRPr="009F2E38">
        <w:rPr>
          <w:rFonts w:ascii="Times New Roman" w:eastAsia="Times New Roman" w:hAnsi="Times New Roman" w:cs="Times New Roman"/>
          <w:b/>
          <w:sz w:val="28"/>
          <w:szCs w:val="28"/>
        </w:rPr>
        <w:t>агальної</w:t>
      </w:r>
      <w:proofErr w:type="spellEnd"/>
      <w:r w:rsidRPr="009F2E38">
        <w:rPr>
          <w:rFonts w:ascii="Times New Roman" w:eastAsia="Times New Roman" w:hAnsi="Times New Roman" w:cs="Times New Roman"/>
          <w:b/>
          <w:sz w:val="28"/>
          <w:szCs w:val="28"/>
        </w:rPr>
        <w:t xml:space="preserve"> середньої освіти</w:t>
      </w:r>
      <w:r w:rsidR="009F2E38" w:rsidRPr="009F2E3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, </w:t>
      </w:r>
      <w:r w:rsidR="009F2E38" w:rsidRPr="009F2E38">
        <w:rPr>
          <w:rFonts w:ascii="Times New Roman" w:eastAsia="Times New Roman" w:hAnsi="Times New Roman" w:cs="Times New Roman"/>
          <w:b/>
          <w:sz w:val="28"/>
          <w:szCs w:val="28"/>
        </w:rPr>
        <w:t xml:space="preserve">позашкільної освіти, фахової </w:t>
      </w:r>
      <w:proofErr w:type="spellStart"/>
      <w:r w:rsidR="009F2E38" w:rsidRPr="009F2E38">
        <w:rPr>
          <w:rFonts w:ascii="Times New Roman" w:eastAsia="Times New Roman" w:hAnsi="Times New Roman" w:cs="Times New Roman"/>
          <w:b/>
          <w:sz w:val="28"/>
          <w:szCs w:val="28"/>
        </w:rPr>
        <w:t>передвищої</w:t>
      </w:r>
      <w:proofErr w:type="spellEnd"/>
      <w:r w:rsidR="009F2E38" w:rsidRPr="009F2E38">
        <w:rPr>
          <w:rFonts w:ascii="Times New Roman" w:eastAsia="Times New Roman" w:hAnsi="Times New Roman" w:cs="Times New Roman"/>
          <w:b/>
          <w:sz w:val="28"/>
          <w:szCs w:val="28"/>
        </w:rPr>
        <w:t xml:space="preserve"> освіти</w:t>
      </w:r>
    </w:p>
    <w:p w:rsidR="009F2E38" w:rsidRDefault="009F2E38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0867C3" w:rsidRPr="005C5177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Розробник / розробники (контактні дані): </w:t>
      </w:r>
      <w:proofErr w:type="spellStart"/>
      <w:r w:rsidR="005C5177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Войтків</w:t>
      </w:r>
      <w:proofErr w:type="spellEnd"/>
      <w:r w:rsidR="005C5177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Г.Д., Ліщинський І.М.</w:t>
      </w:r>
    </w:p>
    <w:p w:rsidR="000867C3" w:rsidRPr="005C5177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</w:pPr>
    </w:p>
    <w:p w:rsidR="000867C3" w:rsidRPr="005C5177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Найменування програми 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П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двищення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квал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ф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кац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ії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вчител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в</w:t>
      </w:r>
      <w:r w:rsidR="005C5177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(викладачів)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ф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зики </w:t>
      </w:r>
      <w:r w:rsidR="005C5177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астроном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ії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 та </w:t>
      </w:r>
      <w:proofErr w:type="spellStart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кер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вник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в </w:t>
      </w:r>
      <w:r w:rsidR="00CE68F2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en-US"/>
        </w:rPr>
        <w:t>STEM</w:t>
      </w:r>
      <w:proofErr w:type="spellStart"/>
      <w:r w:rsidR="00CE68F2" w:rsidRPr="00CE68F2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-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гуртк</w:t>
      </w:r>
      <w:proofErr w:type="spellEnd"/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і</w:t>
      </w:r>
      <w:r w:rsidR="000D7AAA" w:rsidRPr="005C5177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>в</w:t>
      </w:r>
    </w:p>
    <w:p w:rsidR="000867C3" w:rsidRPr="005C5177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5C5177" w:rsidRPr="005C5177" w:rsidRDefault="00275E8A" w:rsidP="00715D65">
      <w:pPr>
        <w:pStyle w:val="ab"/>
        <w:widowControl w:val="0"/>
        <w:spacing w:before="0"/>
        <w:ind w:firstLine="0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>
        <w:rPr>
          <w:rFonts w:ascii="Times New Roman" w:hAnsi="Times New Roman" w:cs="Times New Roman"/>
          <w:color w:val="262626"/>
          <w:sz w:val="27"/>
          <w:szCs w:val="27"/>
        </w:rPr>
        <w:t xml:space="preserve">Мета: </w:t>
      </w:r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 xml:space="preserve">професійний розвиток учителів (викладачів) фізики та астрономії, керівників гуртків за рахунок удосконалення існуючих чи набуття нових </w:t>
      </w:r>
      <w:proofErr w:type="spellStart"/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>компетентностей</w:t>
      </w:r>
      <w:proofErr w:type="spellEnd"/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 xml:space="preserve">, що стосуються сфери їхньої спеціальності та професійної діяльності, створення умов для набуття нового досвіду діяльності у межах спеціальності, професії чи займаної посади, забезпечення формування комунікативної, цифрової, інклюзивної та управлінської </w:t>
      </w:r>
      <w:proofErr w:type="spellStart"/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>компетентностей</w:t>
      </w:r>
      <w:proofErr w:type="spellEnd"/>
      <w:r w:rsidR="005C5177" w:rsidRPr="005C5177">
        <w:rPr>
          <w:rFonts w:ascii="Times New Roman" w:hAnsi="Times New Roman" w:cs="Times New Roman"/>
          <w:sz w:val="27"/>
          <w:szCs w:val="27"/>
          <w:u w:val="single"/>
        </w:rPr>
        <w:t>.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en-US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Зміст: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Засоби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формування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громадянської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компетентності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учнів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. Нормативно-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правові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документи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законодавство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про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освіту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Фомування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компетентностей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спілкування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державною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іноземною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мовами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Засоби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формування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soft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skills</w:t>
      </w:r>
      <w:proofErr w:type="spellStart"/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Сучасна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педагог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i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чна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психолог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i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я.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Сучасний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стан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розвитку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наукової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дисципл</w:t>
      </w:r>
      <w:proofErr w:type="spellEnd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i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ни.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Сучасна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методика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викладання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астрономії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Інформаційні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технології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на уроках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астрономії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Проектна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діяльність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Індивідуальна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програма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розвитку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дітей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з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особливими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потребами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.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клюзивна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сутність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завдання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і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принципи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Проектування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уроку,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спрямованого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на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розвиток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критичного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мислення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Урок за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інтегральною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освітньою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технологією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Уроки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тренінги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воркшопи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Нестандартні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уроки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Формування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експериментальних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вмінь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досл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ідницьких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навичок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на уроках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Фізичний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експеримент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його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структура,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види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і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завдання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Віртуальний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фізичний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експеримент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Методика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проведення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Експериментальні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задачі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з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Постановка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розв’язування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Цифрові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лабораторні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роботи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з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Стан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розвитку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в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Україн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і.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Нормативні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документи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Б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інарні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інтегровані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уроки з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природничо-математичних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дисциплін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як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засіб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реалізації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Досл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ідницьке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навчання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Проектна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діяльність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учні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</w:t>
      </w:r>
      <w:proofErr w:type="spellEnd"/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 </w:t>
      </w:r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як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спосіб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реалізації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Сучасні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цифрові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лабораторії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цифрові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вимірювальні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комплекси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цифрові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інструменти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на уроках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фізики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Впровадження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основних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засад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наукової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як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спосіб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вивчення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STEM</w:t>
      </w:r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-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дисциплін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</w:p>
    <w:p w:rsidR="00715D65" w:rsidRPr="00715D65" w:rsidRDefault="00715D65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uk-UA"/>
        </w:rPr>
      </w:pP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Компетентнісно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зорієнтоване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педагогічне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оцінювання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Педагогічні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вимірювання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Контроль,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діагностика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моніторинг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Тестові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технології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оцінювання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Діагностичне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,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формуюче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та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п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ідсумкове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оцінювання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. </w:t>
      </w:r>
      <w:proofErr w:type="spellStart"/>
      <w:proofErr w:type="gram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en-US"/>
        </w:rPr>
        <w:t>Pissa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-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міжнародне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мірило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якості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 xml:space="preserve"> </w:t>
      </w:r>
      <w:proofErr w:type="spellStart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освіти</w:t>
      </w:r>
      <w:proofErr w:type="spell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ru-RU"/>
        </w:rPr>
        <w:t>.</w:t>
      </w:r>
      <w:proofErr w:type="gramEnd"/>
      <w:r w:rsidRPr="00715D65">
        <w:rPr>
          <w:rFonts w:ascii="Times New Roman" w:eastAsia="Times New Roman" w:hAnsi="Times New Roman" w:cs="Times New Roman"/>
          <w:sz w:val="27"/>
          <w:szCs w:val="27"/>
          <w:u w:val="single"/>
          <w:lang w:val="uk-UA"/>
        </w:rPr>
        <w:t xml:space="preserve"> 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Обсяг (тривалість), що встановлюється в годинах та / або в кредитах ЄКТС:</w:t>
      </w:r>
      <w:r w:rsidR="000D7AAA" w:rsidRPr="000D7AAA">
        <w:rPr>
          <w:rFonts w:ascii="Times New Roman" w:eastAsia="Times New Roman" w:hAnsi="Times New Roman" w:cs="Times New Roman"/>
          <w:b/>
          <w:color w:val="262626"/>
          <w:sz w:val="27"/>
          <w:szCs w:val="27"/>
          <w:u w:val="single"/>
          <w:lang w:val="uk-UA"/>
        </w:rPr>
        <w:t>150/5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Pr="000D7AAA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lastRenderedPageBreak/>
        <w:t xml:space="preserve">Форма / форми підвищення кваліфікації: </w:t>
      </w:r>
      <w:r w:rsidR="000D7AAA" w:rsidRPr="000D7AAA">
        <w:rPr>
          <w:rFonts w:ascii="Times New Roman" w:eastAsia="Times New Roman" w:hAnsi="Times New Roman" w:cs="Times New Roman"/>
          <w:b/>
          <w:color w:val="262626"/>
          <w:sz w:val="27"/>
          <w:szCs w:val="27"/>
          <w:u w:val="single"/>
          <w:lang w:val="uk-UA"/>
        </w:rPr>
        <w:t>очна, дистанційна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Перелік </w:t>
      </w:r>
      <w:proofErr w:type="spellStart"/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, що вдосконалюватимуться / набуватимуться (загальні, фахові): 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20"/>
        <w:gridCol w:w="6300"/>
        <w:gridCol w:w="1260"/>
      </w:tblGrid>
      <w:tr w:rsidR="005C5177" w:rsidRPr="005C5177" w:rsidTr="00FD29FC">
        <w:trPr>
          <w:jc w:val="center"/>
        </w:trPr>
        <w:tc>
          <w:tcPr>
            <w:tcW w:w="2068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Компетенція</w:t>
            </w:r>
          </w:p>
        </w:tc>
        <w:tc>
          <w:tcPr>
            <w:tcW w:w="6320" w:type="dxa"/>
            <w:gridSpan w:val="2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Зміст компетенції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Шифр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Загальнонаукові</w:t>
            </w: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КЗН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Уявленнями про сучасні досягнення фундаментальних наук в обсязі необхідному для здійснення професійної діяльності.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01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концептуальним апаратом і основними загальнонауковими методами дослідження.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Знання принципів самоорганізації у живій і неживій природі, принципів еволюції, відтворення, розвитку систем біосфери і ноосфери.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05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науковими методами обробки інформації.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06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Знання сучасних інформаційних технологій для отримання доступу до джерел інформації, збереження та обробки отриманої інформації.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07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способами інформаційно-описової діяльності, систематизування даних, структурування, опису предметної сфери (</w:t>
            </w:r>
            <w:r w:rsidRPr="005C5177">
              <w:rPr>
                <w:rFonts w:ascii="Times New Roman" w:hAnsi="Times New Roman" w:cs="Times New Roman"/>
                <w:i/>
                <w:sz w:val="27"/>
                <w:szCs w:val="27"/>
              </w:rPr>
              <w:t>виділяти ключові категорії, поняття, персоналії, групи проблем або проблеми, систематизувати концепції, технології, методи вирішення проблем, ведення власної бази даних, укладання наукових робіт, рефератів тощо )</w:t>
            </w: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08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до рефлексії власних дій.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КЗН 09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Соціально-</w:t>
            </w:r>
            <w:proofErr w:type="spellEnd"/>
          </w:p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особистісні</w:t>
            </w: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КСО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 встановленими професійно-етичними нормами.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02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Розуміння цінності культури, науки  на сучасному етапі розвитку суспільства.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Уміння вибудовувати стратегії особистісного розвитку та навчання,  готовність до постійного саморозвитку.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04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Готовність до інноваційної діяльності.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05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засобами дотримання норм здорового способу життя, педагогічної психогігієни.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06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навчатися впродовж життя.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07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Уміння критично мислити.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08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планувати та вибудовувати власну професійну кар’єру.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09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– Здатність мислити системно,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креативно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ефективно адаптуватися до різних змін.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10</w:t>
            </w:r>
          </w:p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11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забезпечувати належну якість роботи.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12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Здатністю до самоаналізу у професійній діяльності</w:t>
            </w:r>
            <w:r w:rsidRPr="005C5177">
              <w:rPr>
                <w:rFonts w:ascii="Times New Roman" w:hAnsi="Times New Roman" w:cs="Times New Roman"/>
                <w:i/>
                <w:sz w:val="27"/>
                <w:szCs w:val="27"/>
              </w:rPr>
              <w:t>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КСО 13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Інструменталь</w:t>
            </w: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ні</w:t>
            </w: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І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Здатність ефективно взаємодіяти на міжособистісному рівні.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Уміння здійснювати пошуково-дослідницьку діяльність.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04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 засобами педагогічної діагностики.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05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– Володіння засобами управління інформацією.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06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– Володіння навичками роботи з комп’ютером (набір і форматування тексту, робота з програмними педагогічними засобами, робота в мережі Internet, електронна пошта, чат, форум, телеконференції, Microsoft Office,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Power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Point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).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КІ 07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Загально-професійні</w:t>
            </w: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КЗП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організовувати роботу відповідно до вимог безпеки життєдіяльності та охорони праці.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02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Володіння понятійним апаратом, пізнавальними підходами та методами.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Вміння вибудовувати професійну діяльність на основі знань, досягнень психології та педагогіки.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04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відстежувати й осмислювати розвиток теорії і практики психології, педагогіки, методики викладання предмета.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05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Вміння користуватися репертуаром вербальної і невербальної комунікації.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06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аналізувати педагогічні ситуації, виокремлюючи прийоми педагогічної взаємодії.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07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логічно та послідовно представляти засвоєні знання.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08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вибудовувати професійну діяльність на основі сучасних принципів організації навчально-виховного процесу.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09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Уміння вирішувати типові навчальні задачі.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10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працювати в умовах психологічних та педагогічних експериментів різних рівнів.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11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Уміння  комплексно підходити до виконання професійних обов’язків відповідно до конкретної ситуації.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12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оцінку якості своєї роботи та роботи колег.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13</w:t>
            </w:r>
          </w:p>
        </w:tc>
      </w:tr>
      <w:tr w:rsidR="005C5177" w:rsidRPr="005C5177" w:rsidTr="00FD29FC">
        <w:trPr>
          <w:jc w:val="center"/>
        </w:trPr>
        <w:tc>
          <w:tcPr>
            <w:tcW w:w="2068" w:type="dxa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20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Уміння планувати та реалізувати відповідні заходи.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КЗП 14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Спеціально-професійні</w:t>
            </w: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b/>
                <w:sz w:val="27"/>
                <w:szCs w:val="27"/>
              </w:rPr>
              <w:t>КСП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 w:val="restart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використовувати професійно-профільовані знання з фізики;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01</w:t>
            </w:r>
          </w:p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Орієнтуватися в сучасних напрямках розвитку  фізики як науки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02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Здатність використовувати теоретичні знання і практичні навички для ефективної організації </w:t>
            </w:r>
            <w:r w:rsidRPr="005C51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навчально-виховного процесу в сучасних умовах.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КСП 03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Володіти психолого-педагогічним аналізом процесу засвоєння фізичних понять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04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формувати в учнів навчально-інтелектуальні і творчі уміння, необхідні для професійного самовизначення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05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Володіти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теоретико-методичними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підходами інтеграції природничо-наукових знань школярів 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06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логіко-дидактичний аналіз навчального матеріалу шкільних підручників, методичний аналіз спеціальної літератури, сучасних засобів навчання.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07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Володіти здатністю переносити відомі вчителю знання, варіанти розв’язання, методи навчання і виховання в умови нових педагогічних ситуацій.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08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Здатність знаходити нові рішення, створювати нові елементи педагогічних знань, ідей, прийомів для конкретної ситуації.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09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підбір та розробляти предметний матеріал відповідно до поставлених завдань.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10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Володіння проектно-технологічною діяльністю у вирішенні педагогічних і навчальних задач;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11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планувати і конструювати навчальний процес з фізики відповідно нових педагогічних технологій;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13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Забезпечення наступності у навчанні між різними ланками ступеневої системи  фізичної освіти;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14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Володіння навичками організації позаурочної роботи з фізики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15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формулювати та вирішувати професійні задачі.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17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Здатність організовувати рефлексивну і творчу діяльність учнів, пов’язану з засвоєнням предметних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компетенцій</w:t>
            </w:r>
            <w:proofErr w:type="spellEnd"/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18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Вміння розв'язувати рівневі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олімпіадні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завдання,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завдання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підвищеної складності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19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надавати іншим педагогам методичну допомогу з викладання  фізики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20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вибирати необхідний матеріал та конструювати предметний зміст уроку, відповідно до вікових особливостей учнів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21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планувати свою роботу та вчити планувати навчальну роботу учнів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22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організовувати різні види діяльності учні в залежності від поставлених задач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23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Здатність оцінювати навчальні досягнення учнів у </w:t>
            </w:r>
            <w:r w:rsidRPr="005C51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відповідності до державних стандартів вивчення предмета, вимог різнорівневих програм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КСП 24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Аналізувати основні тенденції розвитку педагогічної діагностики та створювати моделі, тестові завдання для вимірювання навчальних досягнень з фізики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25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Здійснення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внутрішкільного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та </w:t>
            </w:r>
            <w:proofErr w:type="spellStart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внутрікласного</w:t>
            </w:r>
            <w:proofErr w:type="spellEnd"/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моніторингу  якості фізичної освіти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26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здійснювати аналіз та самоаналіз уроку фізики з позицій різних наукових підходів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27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Здатність виконувати професійні завдання та обов’язки інноваційного характеру (</w:t>
            </w:r>
            <w:r w:rsidRPr="005C5177">
              <w:rPr>
                <w:rFonts w:ascii="Times New Roman" w:hAnsi="Times New Roman" w:cs="Times New Roman"/>
                <w:i/>
                <w:sz w:val="27"/>
                <w:szCs w:val="27"/>
              </w:rPr>
              <w:t>здатність здійснювати інноваційну діяльність)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28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Самостійне створення мультимедійних презентації, методичних та дидактичних матеріалів для вивчення фізики за допомогою текстового редактора та табличного процесора;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29</w:t>
            </w:r>
          </w:p>
        </w:tc>
      </w:tr>
      <w:tr w:rsidR="005C5177" w:rsidRPr="005C5177" w:rsidTr="00FD29FC">
        <w:trPr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Аналізувати освітні ресурси Інтернету; використання ІКТ у навчанні фізики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30</w:t>
            </w:r>
          </w:p>
        </w:tc>
      </w:tr>
      <w:tr w:rsidR="005C5177" w:rsidRPr="005C5177" w:rsidTr="00FD29FC">
        <w:trPr>
          <w:trHeight w:val="608"/>
          <w:jc w:val="center"/>
        </w:trPr>
        <w:tc>
          <w:tcPr>
            <w:tcW w:w="2088" w:type="dxa"/>
            <w:gridSpan w:val="2"/>
            <w:vMerge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6300" w:type="dxa"/>
          </w:tcPr>
          <w:p w:rsidR="005C5177" w:rsidRPr="005C5177" w:rsidRDefault="005C5177" w:rsidP="00715D65">
            <w:pPr>
              <w:spacing w:line="240" w:lineRule="auto"/>
              <w:ind w:right="-81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 xml:space="preserve">   Здатність аналітико-прогностичної діяльності за результатами моніторингу якості фізичної освіти</w:t>
            </w:r>
          </w:p>
        </w:tc>
        <w:tc>
          <w:tcPr>
            <w:tcW w:w="1260" w:type="dxa"/>
            <w:vAlign w:val="center"/>
          </w:tcPr>
          <w:p w:rsidR="005C5177" w:rsidRPr="005C5177" w:rsidRDefault="005C5177" w:rsidP="00715D65">
            <w:pPr>
              <w:spacing w:line="240" w:lineRule="auto"/>
              <w:ind w:right="-8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C5177">
              <w:rPr>
                <w:rFonts w:ascii="Times New Roman" w:hAnsi="Times New Roman" w:cs="Times New Roman"/>
                <w:sz w:val="27"/>
                <w:szCs w:val="27"/>
              </w:rPr>
              <w:t>КСП 31</w:t>
            </w:r>
          </w:p>
        </w:tc>
      </w:tr>
    </w:tbl>
    <w:p w:rsidR="005C5177" w:rsidRPr="005C5177" w:rsidRDefault="005C5177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Розподіл годин за видами діяльності: </w:t>
      </w:r>
    </w:p>
    <w:tbl>
      <w:tblPr>
        <w:tblStyle w:val="a5"/>
        <w:tblW w:w="9425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75"/>
        <w:gridCol w:w="825"/>
        <w:gridCol w:w="1245"/>
        <w:gridCol w:w="1080"/>
        <w:gridCol w:w="1070"/>
        <w:gridCol w:w="930"/>
      </w:tblGrid>
      <w:tr w:rsidR="000867C3">
        <w:tc>
          <w:tcPr>
            <w:tcW w:w="4275" w:type="dxa"/>
            <w:vMerge w:val="restart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Назви змістових модулів </w:t>
            </w:r>
            <w:r w:rsidR="000D7AA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навчальних тем</w:t>
            </w:r>
          </w:p>
        </w:tc>
        <w:tc>
          <w:tcPr>
            <w:tcW w:w="5150" w:type="dxa"/>
            <w:gridSpan w:val="5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0867C3" w:rsidTr="00275E8A">
        <w:trPr>
          <w:trHeight w:val="1346"/>
        </w:trPr>
        <w:tc>
          <w:tcPr>
            <w:tcW w:w="4275" w:type="dxa"/>
            <w:vMerge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0867C3" w:rsidP="00715D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Лекції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Практичні /</w:t>
            </w:r>
          </w:p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Семінарські /</w:t>
            </w:r>
          </w:p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Лабораторні</w:t>
            </w:r>
          </w:p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заняття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ind w:left="-141" w:right="-1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Самостійна робота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Default="00275E8A" w:rsidP="00715D65">
            <w:pPr>
              <w:spacing w:line="240" w:lineRule="auto"/>
              <w:ind w:left="-168" w:right="-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Контрольна робота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0867C3" w:rsidRDefault="00275E8A" w:rsidP="00715D65">
            <w:pPr>
              <w:widowControl w:val="0"/>
              <w:spacing w:line="240" w:lineRule="auto"/>
              <w:ind w:left="-108" w:right="-108"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Всього кредитів /</w:t>
            </w:r>
          </w:p>
          <w:p w:rsidR="000867C3" w:rsidRDefault="00275E8A" w:rsidP="00715D65">
            <w:pPr>
              <w:spacing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годин</w:t>
            </w:r>
          </w:p>
        </w:tc>
      </w:tr>
      <w:tr w:rsidR="000867C3" w:rsidRPr="00715D65">
        <w:trPr>
          <w:trHeight w:val="210"/>
        </w:trPr>
        <w:tc>
          <w:tcPr>
            <w:tcW w:w="4275" w:type="dxa"/>
            <w:shd w:val="clear" w:color="auto" w:fill="FFFFFF"/>
            <w:vAlign w:val="center"/>
          </w:tcPr>
          <w:p w:rsidR="000867C3" w:rsidRPr="00715D65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Модуль І.</w:t>
            </w:r>
          </w:p>
          <w:p w:rsidR="000D7AAA" w:rsidRPr="00715D65" w:rsidRDefault="000D7AA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</w:pPr>
            <w:proofErr w:type="spellStart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>Соціогуманітарний</w:t>
            </w:r>
            <w:proofErr w:type="spellEnd"/>
          </w:p>
          <w:p w:rsidR="00835210" w:rsidRPr="00715D65" w:rsidRDefault="00835210" w:rsidP="00715D6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Засоби формування громадянської компетентності учнів</w:t>
            </w:r>
          </w:p>
          <w:p w:rsidR="00835210" w:rsidRPr="00715D65" w:rsidRDefault="00835210" w:rsidP="00715D6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Нормативно-правові документи, законодавство про освіту.</w:t>
            </w:r>
          </w:p>
          <w:p w:rsidR="00835210" w:rsidRPr="00715D65" w:rsidRDefault="00835210" w:rsidP="00715D6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Фомування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компетентностей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 спілкування державною та іноземною мовами</w:t>
            </w:r>
          </w:p>
          <w:p w:rsidR="00CB5776" w:rsidRPr="00715D65" w:rsidRDefault="00CB5776" w:rsidP="00715D65">
            <w:pPr>
              <w:spacing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 xml:space="preserve">Засоби формування </w:t>
            </w: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en-US"/>
              </w:rPr>
              <w:t>soft skills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0867C3" w:rsidRPr="00715D65" w:rsidRDefault="00835210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  <w:tr w:rsidR="000867C3" w:rsidRPr="00715D65">
        <w:trPr>
          <w:trHeight w:val="230"/>
        </w:trPr>
        <w:tc>
          <w:tcPr>
            <w:tcW w:w="4275" w:type="dxa"/>
            <w:shd w:val="clear" w:color="auto" w:fill="FFFFFF"/>
            <w:vAlign w:val="center"/>
          </w:tcPr>
          <w:p w:rsidR="000867C3" w:rsidRPr="00715D65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Модуль ІІ.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 xml:space="preserve">Технології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>інновацiйної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>педагогiки</w:t>
            </w:r>
            <w:proofErr w:type="spellEnd"/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Сучасна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педагогiчна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психологiя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.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Сучасний стан розвитку наукової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дисциплiни</w:t>
            </w:r>
            <w:proofErr w:type="spellEnd"/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Сучасна методика викладання </w:t>
            </w: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lastRenderedPageBreak/>
              <w:t>фізики та астрономії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Інформаційні технології на уроках фізики та астрономії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Проектна діяльність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Індивідуальна програма розвитку дітей з особливими потребами</w:t>
            </w:r>
          </w:p>
          <w:p w:rsidR="009F2E38" w:rsidRPr="00715D65" w:rsidRDefault="009F2E38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Інклюзивна освіта, сутність завдання і принципи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lastRenderedPageBreak/>
              <w:t>8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  <w:tr w:rsidR="00CB5776" w:rsidRPr="00715D65" w:rsidTr="001513E1">
        <w:trPr>
          <w:trHeight w:val="310"/>
        </w:trPr>
        <w:tc>
          <w:tcPr>
            <w:tcW w:w="4275" w:type="dxa"/>
            <w:shd w:val="clear" w:color="auto" w:fill="FFFFFF"/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lastRenderedPageBreak/>
              <w:t>Модуль І</w:t>
            </w: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  <w:t>ІІ</w:t>
            </w: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Урок фізики в сучасних технологіях навчання.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Проектування уроку, спрямованого на розвиток критичного мислення.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Урок за інтегральною освітньою технологією.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Уроки тренінги,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воркшопи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..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Нестандартні уроки фізики.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Формування експериментальних вмінь та дослідницьких навичок на уроках фізики.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  <w:tr w:rsidR="000867C3" w:rsidRPr="00715D65">
        <w:trPr>
          <w:trHeight w:val="220"/>
        </w:trPr>
        <w:tc>
          <w:tcPr>
            <w:tcW w:w="4275" w:type="dxa"/>
            <w:shd w:val="clear" w:color="auto" w:fill="FFFFFF"/>
            <w:vAlign w:val="center"/>
          </w:tcPr>
          <w:p w:rsidR="000867C3" w:rsidRPr="00715D65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 xml:space="preserve">Модуль </w:t>
            </w:r>
            <w:r w:rsidR="00CB5776"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  <w:t>І</w:t>
            </w:r>
            <w:r w:rsidR="00CB5776"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V</w:t>
            </w: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t>.</w:t>
            </w:r>
          </w:p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lang w:val="uk-UA"/>
              </w:rPr>
              <w:t>STEM освіта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Фізичний експеримент, його структура, види і завдання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Віртуальний фізичний експеримент. Методика проведення.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Експериментальні задачі з фізики. Постановка та розв’язування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Цифрові лабораторні роботи з фізики.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Стан розвитку STEM освіти в </w:t>
            </w:r>
            <w:proofErr w:type="spellStart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Україні.Нормативні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 документи STEM освіти.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Бінарні та інтегровані уроки з природничо-математичних дисциплін, як засіб реалізації STEM.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Дослідницьке навчання 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Проектна діяльність учнів  як спосіб реалізації STEM.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 xml:space="preserve">Сучасні цифрові лабораторії, цифрові вимірювальні комплекси та цифрові інструменти на уроках </w:t>
            </w: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lastRenderedPageBreak/>
              <w:t>фізики.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Впровадження основних засад наукової освіти, як спосіб вивчення STEM-дисциплін.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lastRenderedPageBreak/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  <w:tr w:rsidR="000867C3" w:rsidRPr="00715D65" w:rsidTr="00275E8A">
        <w:trPr>
          <w:trHeight w:val="308"/>
        </w:trPr>
        <w:tc>
          <w:tcPr>
            <w:tcW w:w="4275" w:type="dxa"/>
            <w:shd w:val="clear" w:color="auto" w:fill="FFFFFF"/>
            <w:vAlign w:val="center"/>
          </w:tcPr>
          <w:p w:rsidR="000867C3" w:rsidRPr="00715D65" w:rsidRDefault="00275E8A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</w:rPr>
              <w:lastRenderedPageBreak/>
              <w:t>Модуль V.</w:t>
            </w:r>
          </w:p>
          <w:p w:rsidR="00CB5776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proofErr w:type="spellStart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  <w:t>Компетентнісно</w:t>
            </w:r>
            <w:proofErr w:type="spellEnd"/>
            <w:r w:rsidRPr="00715D65"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  <w:t xml:space="preserve"> зорієнтоване педагогічне оцінювання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Педагогічні вимірювання. Контроль, діагностика, моніторинг.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Тестові технології оцінювання.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Діагностичне, формуюче та підсумкове оцінювання.</w:t>
            </w:r>
          </w:p>
          <w:p w:rsidR="00CB5776" w:rsidRPr="00715D65" w:rsidRDefault="00CB5776" w:rsidP="00715D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62626"/>
                <w:sz w:val="27"/>
                <w:szCs w:val="27"/>
                <w:highlight w:val="white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color w:val="262626"/>
                <w:sz w:val="27"/>
                <w:szCs w:val="27"/>
                <w:lang w:val="uk-UA"/>
              </w:rPr>
              <w:t>Pissa-міжнародне мірило якості освіти.</w:t>
            </w:r>
          </w:p>
        </w:tc>
        <w:tc>
          <w:tcPr>
            <w:tcW w:w="82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245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6</w:t>
            </w:r>
          </w:p>
        </w:tc>
        <w:tc>
          <w:tcPr>
            <w:tcW w:w="108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18</w:t>
            </w:r>
          </w:p>
        </w:tc>
        <w:tc>
          <w:tcPr>
            <w:tcW w:w="1070" w:type="dxa"/>
            <w:shd w:val="clear" w:color="auto" w:fill="FFFFFF"/>
            <w:tcMar>
              <w:top w:w="120" w:type="dxa"/>
              <w:left w:w="168" w:type="dxa"/>
              <w:bottom w:w="120" w:type="dxa"/>
              <w:right w:w="168" w:type="dxa"/>
            </w:tcMar>
            <w:vAlign w:val="center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+</w:t>
            </w:r>
          </w:p>
        </w:tc>
        <w:tc>
          <w:tcPr>
            <w:tcW w:w="930" w:type="dxa"/>
            <w:shd w:val="clear" w:color="auto" w:fill="FFFFFF"/>
          </w:tcPr>
          <w:p w:rsidR="000867C3" w:rsidRPr="00715D65" w:rsidRDefault="00CB5776" w:rsidP="00715D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715D65"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  <w:t>30/1</w:t>
            </w:r>
          </w:p>
        </w:tc>
      </w:tr>
    </w:tbl>
    <w:p w:rsidR="000867C3" w:rsidRPr="009F2E38" w:rsidRDefault="00275E8A" w:rsidP="00715D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Особа / особи, які виконують програму: </w:t>
      </w:r>
      <w:r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</w:rPr>
        <w:t xml:space="preserve">освіта, категорія, науковий ступінь, педагогічне / вчене звання, досвід роботи: </w:t>
      </w:r>
      <w:proofErr w:type="spellStart"/>
      <w:r w:rsidR="000D7AAA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к.п.н</w:t>
      </w:r>
      <w:proofErr w:type="spellEnd"/>
      <w:r w:rsidR="000D7AAA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. </w:t>
      </w:r>
      <w:proofErr w:type="spellStart"/>
      <w:r w:rsidR="000D7AAA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Войтків</w:t>
      </w:r>
      <w:proofErr w:type="spellEnd"/>
      <w:r w:rsidR="000D7AAA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Г.Д., </w:t>
      </w:r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проф. </w:t>
      </w:r>
      <w:proofErr w:type="spellStart"/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Гасюк</w:t>
      </w:r>
      <w:proofErr w:type="spellEnd"/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І.М, доц. Ліщинський І.М., проф. </w:t>
      </w:r>
      <w:proofErr w:type="spellStart"/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Яблонь</w:t>
      </w:r>
      <w:proofErr w:type="spellEnd"/>
      <w:r w:rsidR="005C5177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</w:t>
      </w:r>
      <w:r w:rsidR="00861002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Л.С.</w:t>
      </w:r>
      <w:r w:rsidR="009F2E38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, проф.. Бойчук В.М., проф. </w:t>
      </w:r>
      <w:proofErr w:type="spellStart"/>
      <w:r w:rsidR="009F2E38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Кланічка</w:t>
      </w:r>
      <w:proofErr w:type="spellEnd"/>
      <w:r w:rsidR="009F2E38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В.М.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Pr="005F60FB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Терміни виконання програми: </w:t>
      </w:r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рівномірний розподіл навчального навантаження в </w:t>
      </w:r>
      <w:proofErr w:type="spellStart"/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міжатестаційний</w:t>
      </w:r>
      <w:proofErr w:type="spellEnd"/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період, але не більше як 5 років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Очікувані результати навчання: </w:t>
      </w:r>
    </w:p>
    <w:p w:rsidR="00861002" w:rsidRPr="009F2E38" w:rsidRDefault="00861002" w:rsidP="00715D65">
      <w:pPr>
        <w:spacing w:line="240" w:lineRule="auto"/>
        <w:ind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Навчання за програмою підвищення кваліфікації вчителів фізики та астрономії сприятиме розвитку їх професійної компетентності задля підвищення ефективності освітньої діяльності, зокрема:</w:t>
      </w:r>
    </w:p>
    <w:p w:rsidR="00861002" w:rsidRPr="009F2E38" w:rsidRDefault="00861002" w:rsidP="00715D6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line="240" w:lineRule="auto"/>
        <w:ind w:left="0"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знати особливості інноваційних процесів в галузі методики викладання фізики й астрономії та основи їх реалізації в освітньому процесі закладів загальної середньої освіти;</w:t>
      </w:r>
    </w:p>
    <w:p w:rsidR="00861002" w:rsidRPr="009F2E38" w:rsidRDefault="00861002" w:rsidP="00715D6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line="240" w:lineRule="auto"/>
        <w:ind w:left="0"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застосовувати знання на практиці задля розвитку професійної компетентності учасників освітнього процесу, що обумовлює підвищення його результативності;</w:t>
      </w:r>
    </w:p>
    <w:p w:rsidR="00861002" w:rsidRPr="009F2E38" w:rsidRDefault="00861002" w:rsidP="00715D6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line="240" w:lineRule="auto"/>
        <w:ind w:left="0"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вміти інтегрувати набуті знання й досвід практичного використання інноваційних методик, нових форм та методів навчання у професійній роботі;</w:t>
      </w:r>
    </w:p>
    <w:p w:rsidR="00861002" w:rsidRPr="009F2E38" w:rsidRDefault="00861002" w:rsidP="00715D65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E w:val="0"/>
        <w:spacing w:line="240" w:lineRule="auto"/>
        <w:ind w:left="0" w:firstLine="397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9F2E38">
        <w:rPr>
          <w:rFonts w:ascii="Times New Roman" w:hAnsi="Times New Roman" w:cs="Times New Roman"/>
          <w:sz w:val="27"/>
          <w:szCs w:val="27"/>
          <w:u w:val="single"/>
        </w:rPr>
        <w:t>оцінювати результати власного навчання як засіб розвитку професійної компетентності особистості задля професійного розвитку та самореалізації в освітньому процесі.</w:t>
      </w:r>
    </w:p>
    <w:p w:rsidR="00861002" w:rsidRPr="00861002" w:rsidRDefault="00861002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Вартість програми: ____________________________________________________</w:t>
      </w: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</w:rPr>
        <w:t>заповнюється працівником ІПОДП після узгодження з планово-фінансовим відділом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5F60FB" w:rsidRPr="00861002" w:rsidRDefault="00275E8A" w:rsidP="00715D65">
      <w:pPr>
        <w:spacing w:line="240" w:lineRule="auto"/>
        <w:jc w:val="both"/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Графік навчального процесу: </w:t>
      </w:r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</w:rPr>
        <w:t xml:space="preserve">1 кредит (30 </w:t>
      </w:r>
      <w:proofErr w:type="spellStart"/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</w:rPr>
        <w:t>год</w:t>
      </w:r>
      <w:proofErr w:type="spellEnd"/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</w:rPr>
        <w:t xml:space="preserve">)- </w:t>
      </w:r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  <w:lang w:val="uk-UA"/>
        </w:rPr>
        <w:t>один</w:t>
      </w:r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</w:rPr>
        <w:t xml:space="preserve"> </w:t>
      </w:r>
      <w:proofErr w:type="spellStart"/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</w:rPr>
        <w:t>змістов</w:t>
      </w:r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  <w:lang w:val="uk-UA"/>
        </w:rPr>
        <w:t>ий</w:t>
      </w:r>
      <w:proofErr w:type="spellEnd"/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</w:rPr>
        <w:t xml:space="preserve"> </w:t>
      </w:r>
      <w:proofErr w:type="spellStart"/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</w:rPr>
        <w:t>модул</w:t>
      </w:r>
      <w:proofErr w:type="spellEnd"/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  <w:lang w:val="uk-UA"/>
        </w:rPr>
        <w:t>ь</w:t>
      </w:r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</w:rPr>
        <w:t xml:space="preserve"> впродовж 3 днів</w:t>
      </w:r>
      <w:r w:rsidR="005F60FB" w:rsidRPr="00861002">
        <w:rPr>
          <w:rFonts w:ascii="Times New Roman" w:hAnsi="Times New Roman" w:cs="Times New Roman"/>
          <w:color w:val="262626"/>
          <w:sz w:val="27"/>
          <w:szCs w:val="27"/>
          <w:u w:val="single"/>
          <w:lang w:val="uk-UA"/>
        </w:rPr>
        <w:t>, графік навчального процесу формується після узгодження з слухачами курсів</w:t>
      </w:r>
    </w:p>
    <w:p w:rsidR="005F60FB" w:rsidRDefault="005F60FB" w:rsidP="00715D6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</w:pPr>
    </w:p>
    <w:p w:rsidR="000867C3" w:rsidRPr="009F2E38" w:rsidRDefault="00275E8A" w:rsidP="00715D6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lastRenderedPageBreak/>
        <w:t xml:space="preserve">Мінімальна та максимальна кількість осіб у групі: </w:t>
      </w:r>
      <w:r w:rsidR="00861002" w:rsidRP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мінімум 5, максимум 20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Pr="005F60FB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Академічні, професійні можливості за результатами опанування програмою: </w:t>
      </w:r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отримання відповідної кваліфікаційної категорії вчителя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Pr="005F60FB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Можливість надання подальшої підтримки чи супроводу: </w:t>
      </w:r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консультації, співпраця у роботі з обдарованими дітьми, проведення спільних науково-практичних конференцій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>Додаткові послуги (організація трансферу, перелік можливих послуг для осіб з інвалідністю):</w:t>
      </w:r>
      <w:r w:rsidR="00715D65">
        <w:rPr>
          <w:rFonts w:ascii="Times New Roman" w:eastAsia="Times New Roman" w:hAnsi="Times New Roman" w:cs="Times New Roman"/>
          <w:color w:val="262626"/>
          <w:sz w:val="27"/>
          <w:szCs w:val="27"/>
          <w:lang w:val="uk-UA"/>
        </w:rPr>
        <w:t xml:space="preserve"> </w:t>
      </w:r>
      <w:r w:rsidR="00715D65" w:rsidRPr="00715D65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створення платформи для віддаленого навчання</w:t>
      </w:r>
      <w:r w:rsidR="00715D65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.</w:t>
      </w:r>
    </w:p>
    <w:p w:rsidR="000867C3" w:rsidRDefault="000867C3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62626"/>
          <w:sz w:val="27"/>
          <w:szCs w:val="27"/>
        </w:rPr>
      </w:pPr>
    </w:p>
    <w:p w:rsidR="000867C3" w:rsidRPr="005F60FB" w:rsidRDefault="00275E8A" w:rsidP="00715D6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Документ, що видається за результатами підвищення кваліфікації: </w:t>
      </w:r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с</w:t>
      </w:r>
      <w:r w:rsidR="000D7AAA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ертифікат</w:t>
      </w:r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и за модулями, свідоцтво</w:t>
      </w:r>
      <w:r w:rsidR="009F2E38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(посвідчення)</w:t>
      </w:r>
      <w:r w:rsid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встановленого зразка</w:t>
      </w:r>
      <w:r w:rsidR="00715D65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.</w:t>
      </w:r>
    </w:p>
    <w:p w:rsidR="000867C3" w:rsidRDefault="000867C3" w:rsidP="00715D6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67C3" w:rsidRPr="005F60FB" w:rsidRDefault="00275E8A" w:rsidP="00715D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262626"/>
          <w:sz w:val="27"/>
          <w:szCs w:val="27"/>
        </w:rPr>
        <w:t xml:space="preserve">Розробник / розробники (посада, наукова ступінь, вчене звання ПІБ) </w:t>
      </w:r>
      <w:proofErr w:type="spellStart"/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Войтків</w:t>
      </w:r>
      <w:proofErr w:type="spellEnd"/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Галина </w:t>
      </w:r>
      <w:proofErr w:type="spellStart"/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Володимирівнав</w:t>
      </w:r>
      <w:proofErr w:type="spellEnd"/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>,</w:t>
      </w:r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 доцент кафедри фізики і методики викладання, </w:t>
      </w:r>
      <w:r w:rsidR="005F60FB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Ліщинський Ігор Мирославович, </w:t>
      </w:r>
      <w:r w:rsidR="00861002" w:rsidRPr="005F60FB">
        <w:rPr>
          <w:rFonts w:ascii="Times New Roman" w:eastAsia="Times New Roman" w:hAnsi="Times New Roman" w:cs="Times New Roman"/>
          <w:color w:val="262626"/>
          <w:sz w:val="27"/>
          <w:szCs w:val="27"/>
          <w:u w:val="single"/>
          <w:lang w:val="uk-UA"/>
        </w:rPr>
        <w:t xml:space="preserve">завідувач кафедри фізики і методики викладання </w:t>
      </w:r>
    </w:p>
    <w:sectPr w:rsidR="000867C3" w:rsidRPr="005F60FB">
      <w:pgSz w:w="11909" w:h="16834"/>
      <w:pgMar w:top="1133" w:right="720" w:bottom="82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17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5FF91464"/>
    <w:multiLevelType w:val="multilevel"/>
    <w:tmpl w:val="F9DC0E7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867C3"/>
    <w:rsid w:val="000867C3"/>
    <w:rsid w:val="000D7AAA"/>
    <w:rsid w:val="00275E8A"/>
    <w:rsid w:val="005C5177"/>
    <w:rsid w:val="005F60FB"/>
    <w:rsid w:val="00660F4A"/>
    <w:rsid w:val="00715D65"/>
    <w:rsid w:val="00835210"/>
    <w:rsid w:val="00861002"/>
    <w:rsid w:val="009F2E38"/>
    <w:rsid w:val="00A72862"/>
    <w:rsid w:val="00CB3A69"/>
    <w:rsid w:val="00CB5776"/>
    <w:rsid w:val="00C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5C5177"/>
    <w:pPr>
      <w:suppressAutoHyphens/>
      <w:spacing w:before="12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c">
    <w:name w:val="List Paragraph"/>
    <w:basedOn w:val="a"/>
    <w:uiPriority w:val="34"/>
    <w:qFormat/>
    <w:rsid w:val="00CE68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275E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E8A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5C5177"/>
    <w:pPr>
      <w:suppressAutoHyphens/>
      <w:spacing w:before="120" w:line="240" w:lineRule="auto"/>
      <w:ind w:firstLine="567"/>
    </w:pPr>
    <w:rPr>
      <w:rFonts w:ascii="Antiqua" w:eastAsia="Times New Roman" w:hAnsi="Antiqua" w:cs="Antiqua"/>
      <w:sz w:val="26"/>
      <w:szCs w:val="20"/>
      <w:lang w:val="uk-UA" w:eastAsia="zh-CN"/>
    </w:rPr>
  </w:style>
  <w:style w:type="paragraph" w:styleId="ac">
    <w:name w:val="List Paragraph"/>
    <w:basedOn w:val="a"/>
    <w:uiPriority w:val="34"/>
    <w:qFormat/>
    <w:rsid w:val="00CE6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8824</Words>
  <Characters>5031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2021-10-08T11:53:00Z</dcterms:created>
  <dcterms:modified xsi:type="dcterms:W3CDTF">2021-10-08T11:53:00Z</dcterms:modified>
</cp:coreProperties>
</file>