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DF" w:rsidRDefault="00AB1948" w:rsidP="006D1E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ownloads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E30" w:rsidRPr="006D1E30" w:rsidRDefault="006D1E30" w:rsidP="006D1E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підвищення кваліфікації </w:t>
      </w:r>
      <w:r w:rsidRPr="006D1E30">
        <w:rPr>
          <w:rFonts w:ascii="Times New Roman" w:hAnsi="Times New Roman" w:cs="Times New Roman"/>
          <w:b/>
          <w:sz w:val="28"/>
          <w:szCs w:val="28"/>
          <w:lang w:val="uk-UA"/>
        </w:rPr>
        <w:br/>
        <w:t>вчителів закладів загальної середньої освіти</w:t>
      </w:r>
    </w:p>
    <w:p w:rsidR="000867C3" w:rsidRPr="006D1E30" w:rsidRDefault="000867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6B76" w:rsidRPr="006D1E30" w:rsidRDefault="00275E8A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(контактні дані): </w:t>
      </w:r>
    </w:p>
    <w:p w:rsidR="004F6B76" w:rsidRP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Я.Д. 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Атаманюк</w:t>
      </w:r>
      <w:proofErr w:type="spellEnd"/>
      <w:r w:rsidR="009311A6"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  <w:hyperlink r:id="rId7" w:history="1">
        <w:r w:rsidR="009311A6" w:rsidRPr="006D1E30">
          <w:rPr>
            <w:rStyle w:val="ab"/>
            <w:rFonts w:ascii="Times New Roman" w:hAnsi="Times New Roman" w:cs="Times New Roman"/>
            <w:sz w:val="26"/>
            <w:szCs w:val="26"/>
            <w:u w:val="none"/>
            <w:shd w:val="clear" w:color="auto" w:fill="FFFFFF"/>
          </w:rPr>
          <w:t>yaroslava.atamaniuk@pnu.edu.ua</w:t>
        </w:r>
      </w:hyperlink>
      <w:r w:rsidR="009311A6" w:rsidRPr="006D1E30">
        <w:rPr>
          <w:rFonts w:ascii="Times New Roman" w:hAnsi="Times New Roman" w:cs="Times New Roman"/>
          <w:color w:val="5F6368"/>
          <w:sz w:val="26"/>
          <w:szCs w:val="26"/>
          <w:shd w:val="clear" w:color="auto" w:fill="FFFFFF"/>
          <w:lang w:val="uk-UA"/>
        </w:rPr>
        <w:t xml:space="preserve"> </w:t>
      </w:r>
    </w:p>
    <w:p w:rsidR="004F6B76" w:rsidRP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Й.Р. 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Гілецький</w:t>
      </w:r>
      <w:proofErr w:type="spellEnd"/>
      <w:r w:rsidR="009311A6"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  <w:hyperlink r:id="rId8" w:history="1">
        <w:r w:rsidR="009311A6" w:rsidRPr="006D1E30">
          <w:rPr>
            <w:rStyle w:val="ab"/>
            <w:rFonts w:ascii="Times New Roman" w:eastAsia="Times New Roman" w:hAnsi="Times New Roman" w:cs="Times New Roman"/>
            <w:bCs/>
            <w:iCs/>
            <w:sz w:val="26"/>
            <w:szCs w:val="26"/>
            <w:u w:val="none"/>
            <w:lang w:val="uk-UA"/>
          </w:rPr>
          <w:t>yosyp.hiletskyi@pnu.edu.ua</w:t>
        </w:r>
      </w:hyperlink>
      <w:r w:rsidR="009311A6"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867C3" w:rsidRPr="006D1E30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Найменування програми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4F6B76" w:rsidRPr="006D1E30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Географія та географічне краєзнавство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6D1E30" w:rsidRDefault="00275E8A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Мета: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4F6B76" w:rsidRPr="006D1E30">
        <w:rPr>
          <w:rFonts w:ascii="Times New Roman" w:hAnsi="Times New Roman" w:cs="Times New Roman"/>
          <w:sz w:val="26"/>
          <w:szCs w:val="26"/>
        </w:rPr>
        <w:t xml:space="preserve">Безперервний професійний розвиток учителів географії  для удосконалення виконання  професійних  завдань  та  обов’язків  в  галузі  сучасної  географічної науки та </w:t>
      </w:r>
      <w:proofErr w:type="spellStart"/>
      <w:r w:rsidR="004F6B76" w:rsidRPr="006D1E30">
        <w:rPr>
          <w:rFonts w:ascii="Times New Roman" w:hAnsi="Times New Roman" w:cs="Times New Roman"/>
          <w:sz w:val="26"/>
          <w:szCs w:val="26"/>
        </w:rPr>
        <w:t>географо-краєзнавчих</w:t>
      </w:r>
      <w:proofErr w:type="spellEnd"/>
      <w:r w:rsidR="004F6B76" w:rsidRPr="006D1E30">
        <w:rPr>
          <w:rFonts w:ascii="Times New Roman" w:hAnsi="Times New Roman" w:cs="Times New Roman"/>
          <w:sz w:val="26"/>
          <w:szCs w:val="26"/>
        </w:rPr>
        <w:t xml:space="preserve"> досліджень, педагогіки та методики навчання підвищення ефективності їх педагогічної діяльності в загальноосвітніх та спеціалізованих навчальних закладах, що забезпечують здобуття загальної середньої освіти.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6D1E30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Зміст:</w:t>
      </w:r>
    </w:p>
    <w:p w:rsidR="009311A6" w:rsidRPr="006D1E30" w:rsidRDefault="009311A6" w:rsidP="0059580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  <w:u w:val="single"/>
          <w:lang w:val="uk-UA"/>
        </w:rPr>
        <w:t>Картографія та основи топографії</w:t>
      </w: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>Картографічні просторові моделі</w:t>
      </w:r>
      <w:r w:rsidR="000E6A2C"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>Розграфлення і номенклатура топографічних карт</w:t>
      </w:r>
      <w:r w:rsidR="000E6A2C"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>Визначення географічних і прямокутних координат точок за топографічною картою</w:t>
      </w:r>
      <w:r w:rsidR="000E6A2C"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 xml:space="preserve">Орієнтування напрямів та навігаційні системи. </w:t>
      </w:r>
      <w:r w:rsidR="000E6A2C"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>Методи й прийоми використання топографічних карт та планів</w:t>
      </w:r>
      <w:r w:rsidR="000E6A2C" w:rsidRPr="006D1E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E6A2C" w:rsidRPr="006D1E30" w:rsidRDefault="000E6A2C" w:rsidP="0059580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  <w:u w:val="single"/>
          <w:lang w:val="uk-UA"/>
        </w:rPr>
        <w:t>Географічні задачі та методика їх розв’язування</w:t>
      </w: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  <w:u w:val="single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>Форма і розміри Землі. Абсолютні висоти та радіус видимого горизонту.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>Градусна сітка Землі та її елементи. Система географічних координат. Глобус – точна модель Землі.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>Добовий рух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>Землі. Місцевий і поясний час, лінія зміни дат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>Річний рух Землі та його наслідки. Тропіки і полярні кола.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>Оболонки антропосфери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95805" w:rsidRPr="006D1E30" w:rsidRDefault="004D5C2A" w:rsidP="004D5C2A">
      <w:pPr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proofErr w:type="spellStart"/>
      <w:r w:rsidRPr="006D1E3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Географо-краєзнавчі</w:t>
      </w:r>
      <w:proofErr w:type="spellEnd"/>
      <w:r w:rsidRPr="006D1E3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дослідження.</w:t>
      </w:r>
      <w:r w:rsidRPr="006D1E30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 xml:space="preserve">Методика використання мультимедійного обладнання в освітньому процесі при організації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географо-краєзнавчої</w:t>
      </w:r>
      <w:proofErr w:type="spellEnd"/>
      <w:r w:rsidRPr="006D1E30">
        <w:rPr>
          <w:rFonts w:ascii="Times New Roman" w:hAnsi="Times New Roman" w:cs="Times New Roman"/>
          <w:sz w:val="26"/>
          <w:szCs w:val="26"/>
        </w:rPr>
        <w:t xml:space="preserve"> роботи.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Інформаційні технології для організації факультативної та гурткової роботи «</w:t>
      </w:r>
      <w:proofErr w:type="spellStart"/>
      <w:r w:rsidRPr="006D1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Географо-краєзнавчі</w:t>
      </w:r>
      <w:proofErr w:type="spellEnd"/>
      <w:r w:rsidRPr="006D1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дослідження Івано-Франківської області»</w:t>
      </w:r>
      <w:r w:rsidRPr="006D1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Pr="006D1E30">
        <w:rPr>
          <w:rFonts w:ascii="Times New Roman" w:hAnsi="Times New Roman" w:cs="Times New Roman"/>
          <w:sz w:val="26"/>
          <w:szCs w:val="26"/>
        </w:rPr>
        <w:t xml:space="preserve">Поточне, підсумкове та формувальне оцінювання засобами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Інтернет-сервісів</w:t>
      </w:r>
      <w:proofErr w:type="spellEnd"/>
      <w:r w:rsidRPr="006D1E30">
        <w:rPr>
          <w:rFonts w:ascii="Times New Roman" w:hAnsi="Times New Roman" w:cs="Times New Roman"/>
          <w:sz w:val="26"/>
          <w:szCs w:val="26"/>
        </w:rPr>
        <w:t>.</w:t>
      </w:r>
      <w:r w:rsidRPr="006D1E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1E30">
        <w:rPr>
          <w:rFonts w:ascii="Times New Roman" w:hAnsi="Times New Roman" w:cs="Times New Roman"/>
          <w:sz w:val="26"/>
          <w:szCs w:val="26"/>
        </w:rPr>
        <w:t xml:space="preserve">Підготовка дистанційного курсу: вибір платформи для проведення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вебінарів</w:t>
      </w:r>
      <w:proofErr w:type="spellEnd"/>
      <w:r w:rsidRPr="006D1E30">
        <w:rPr>
          <w:rFonts w:ascii="Times New Roman" w:hAnsi="Times New Roman" w:cs="Times New Roman"/>
          <w:sz w:val="26"/>
          <w:szCs w:val="26"/>
        </w:rPr>
        <w:t xml:space="preserve">, планування навчального процесу, підготовка сценарію проведення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вебінару</w:t>
      </w:r>
      <w:proofErr w:type="spellEnd"/>
      <w:r w:rsidRPr="006D1E30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6D1E30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</w:p>
    <w:p w:rsidR="004D5C2A" w:rsidRPr="006D1E30" w:rsidRDefault="004D5C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6D1E30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(тривалість), що встановлюється в годинах та / або в кредитах ЄКТС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>:</w:t>
      </w:r>
      <w:r w:rsidR="004F6B76" w:rsidRPr="006D1E30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</w:p>
    <w:p w:rsidR="000867C3" w:rsidRPr="006D1E30" w:rsidRDefault="004F6B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60 </w:t>
      </w:r>
      <w:proofErr w:type="spellStart"/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год</w:t>
      </w:r>
      <w:proofErr w:type="spellEnd"/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/ 2 кредити 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>ЄКТС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6D1E30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Форма / форми підвищення кваліфікації: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:rsidR="000867C3" w:rsidRPr="006D1E30" w:rsidRDefault="004F6B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>Очна, заочна, дистанційна відповідно до формату курсів і робочого навчального плану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6D1E30" w:rsidRDefault="00275E8A" w:rsidP="004F6B76">
      <w:pPr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Перелік </w:t>
      </w:r>
      <w:proofErr w:type="spellStart"/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компетентностей</w:t>
      </w:r>
      <w:proofErr w:type="spellEnd"/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, що вдосконалюватимуться / набуватимуться (загальні, фахові):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>Загальні Соціальна (</w:t>
      </w:r>
      <w:r w:rsidRPr="006D1E30">
        <w:rPr>
          <w:rStyle w:val="rvts0"/>
          <w:rFonts w:ascii="Times New Roman" w:hAnsi="Times New Roman" w:cs="Times New Roman"/>
          <w:sz w:val="26"/>
          <w:szCs w:val="26"/>
        </w:rPr>
        <w:t xml:space="preserve">здатність розв’язувати типові спеціалізовані завдання, педагогічні ситуації та практичні проблеми в професійно-педагогічній діяльності </w:t>
      </w:r>
      <w:r w:rsidRPr="006D1E30">
        <w:rPr>
          <w:rFonts w:ascii="Times New Roman" w:hAnsi="Times New Roman" w:cs="Times New Roman"/>
          <w:sz w:val="26"/>
          <w:szCs w:val="26"/>
        </w:rPr>
        <w:t xml:space="preserve">в різних соціальних ситуаціях та критично оцінювати соціальні події і явища);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Самовираження (здатність до особистісного і професійного самовизначення, самоствердження і самореалізації впродовж життя, самостійного вивчення нових методів і форм роботи та використання новітніх педагогічних технологій у практичній діяльності, підвищення професійної майстерності).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lastRenderedPageBreak/>
        <w:t xml:space="preserve">Фахові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Мовно-комунікативна (здатність спілкуватися рідною мовою як усно, так і письмово, включає удосконалення комунікаційних навичок, включно із здатністю спілкуватися у сфері професійної діяльності., а також за потреби іноземною мовою).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>Предметна (географічна) (здатність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до розв’язання освітніх та наукових проблем).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 Інформаційно-цифрова (здатність орієнтуватися в інформаційному просторі, </w:t>
      </w:r>
      <w:r w:rsidRPr="006D1E3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використовувати відповідне програмне забезпечення (мови програмування, пакети), </w:t>
      </w:r>
      <w:r w:rsidRPr="006D1E30">
        <w:rPr>
          <w:rFonts w:ascii="Times New Roman" w:hAnsi="Times New Roman" w:cs="Times New Roman"/>
          <w:sz w:val="26"/>
          <w:szCs w:val="26"/>
        </w:rPr>
        <w:t xml:space="preserve">здійснювати пошук і критично оцінювати інформацію, оперувати нею у професійній діяльності, використовувати відкриті ресурси, інформаційно-комунікаційні та цифрові технології в освітньому процесі).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Психологічна (здатність визначати і враховувати в освітньому процесі вікові, індивідуальні особливості учнів, сприяти розвитку їх позитивної самооцінки та формувати мотивацію до пізнавальної діяльності.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Педагогічного партнерства та інклюзивна (здатність до спілкування з колегами, іншими фахівцями з метою підтримки учнів, до роботі в команді з метою надання додаткової підтримки учням, зокрема особам з особливими освітніми потребами; забезпечення сприятливих умов для кожного учня, врахування його потреб, можливостей, здібностей та інтересів).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Здоров’я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збережувальна</w:t>
      </w:r>
      <w:proofErr w:type="spellEnd"/>
      <w:r w:rsidRPr="006D1E30">
        <w:rPr>
          <w:rFonts w:ascii="Times New Roman" w:hAnsi="Times New Roman" w:cs="Times New Roman"/>
          <w:sz w:val="26"/>
          <w:szCs w:val="26"/>
        </w:rPr>
        <w:t xml:space="preserve"> (здатність застосовувати знання, уміння, цінності й досвід практичної діяльності в ділянці збереження здоров’я в освітньому середовищі та створення психолого-педагогічних умов для формування здорового способу життя учнів, до попередження і протидії </w:t>
      </w:r>
      <w:proofErr w:type="spellStart"/>
      <w:r w:rsidRPr="006D1E30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6D1E30">
        <w:rPr>
          <w:rFonts w:ascii="Times New Roman" w:hAnsi="Times New Roman" w:cs="Times New Roman"/>
          <w:sz w:val="26"/>
          <w:szCs w:val="26"/>
        </w:rPr>
        <w:t xml:space="preserve"> в живому спілкуванні та в інформаційному середовищі).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 xml:space="preserve">Прогностична (здатність до планування освітнього процесу та прогнозування його результатів, до аналізу та синтезу, у процесі виявлення та оцінки педагогічних проблеми, вироблення рішень щодо їх усунення). </w:t>
      </w:r>
    </w:p>
    <w:p w:rsidR="004F6B76" w:rsidRPr="006D1E30" w:rsidRDefault="004F6B76" w:rsidP="004F6B76">
      <w:pPr>
        <w:jc w:val="both"/>
        <w:rPr>
          <w:rFonts w:ascii="Times New Roman" w:hAnsi="Times New Roman" w:cs="Times New Roman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>Здатність до навчання впродовж життя (здатність до самостійного вивчення нових методів і форм роботи та використання новітніх педагогічних технологій у практичній діяльності, підвищення професійної майстерності).</w:t>
      </w:r>
    </w:p>
    <w:p w:rsidR="004F6B76" w:rsidRPr="006D1E30" w:rsidRDefault="004F6B76" w:rsidP="004F6B76">
      <w:pPr>
        <w:pStyle w:val="10"/>
        <w:shd w:val="clear" w:color="auto" w:fill="FFFFFF"/>
        <w:tabs>
          <w:tab w:val="left" w:pos="495"/>
        </w:tabs>
        <w:spacing w:after="0"/>
        <w:ind w:left="0"/>
        <w:jc w:val="both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6D1E30">
        <w:rPr>
          <w:rFonts w:ascii="Times New Roman" w:hAnsi="Times New Roman"/>
          <w:sz w:val="26"/>
          <w:szCs w:val="26"/>
          <w:lang w:val="uk-UA"/>
        </w:rPr>
        <w:t xml:space="preserve"> Організаційна (здатність до організації процесу навчання, виховання та розвитку учнів, </w:t>
      </w:r>
      <w:r w:rsidRPr="006D1E30">
        <w:rPr>
          <w:rFonts w:ascii="Times New Roman" w:hAnsi="Times New Roman"/>
          <w:sz w:val="26"/>
          <w:szCs w:val="26"/>
          <w:lang w:val="uk-UA" w:eastAsia="uk-UA"/>
        </w:rPr>
        <w:t>планувати та логічно моделювати зміст навчання, добирати форми і методи викладання навчальних курсів з географії з урахуванням їх місця і ролі в загальній програмі підготовки фахівців</w:t>
      </w:r>
      <w:r w:rsidRPr="006D1E30">
        <w:rPr>
          <w:rFonts w:ascii="Times New Roman" w:hAnsi="Times New Roman"/>
          <w:sz w:val="26"/>
          <w:szCs w:val="26"/>
          <w:lang w:val="uk-UA"/>
        </w:rPr>
        <w:t xml:space="preserve">). </w:t>
      </w:r>
    </w:p>
    <w:p w:rsidR="000867C3" w:rsidRPr="006D1E30" w:rsidRDefault="004F6B76" w:rsidP="004F6B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D1E30">
        <w:rPr>
          <w:rFonts w:ascii="Times New Roman" w:hAnsi="Times New Roman" w:cs="Times New Roman"/>
          <w:sz w:val="26"/>
          <w:szCs w:val="26"/>
        </w:rPr>
        <w:t>Оцінювальна та рефлексивна (здатність до здійснення оцінювання результатів навчання учнів, у тому числі з використанням цифрових технологій, визначення власних професійних потреб).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0867C3" w:rsidRPr="006D1E30" w:rsidRDefault="00275E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 w:rsidRPr="006D1E30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 w:rsidP="004F6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Назви змістових модулів </w:t>
            </w:r>
            <w:r w:rsidR="004F6B76"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0867C3" w:rsidRPr="006D1E30" w:rsidTr="00275E8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0867C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 /</w:t>
            </w:r>
          </w:p>
          <w:p w:rsidR="000867C3" w:rsidRPr="006D1E30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Семінарські /</w:t>
            </w:r>
          </w:p>
          <w:p w:rsidR="000867C3" w:rsidRPr="006D1E30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Лабораторні</w:t>
            </w:r>
          </w:p>
          <w:p w:rsidR="000867C3" w:rsidRPr="006D1E30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6D1E30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867C3" w:rsidRPr="006D1E30" w:rsidRDefault="00275E8A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0867C3" w:rsidRPr="006D1E30" w:rsidRDefault="00275E8A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595805" w:rsidRPr="006D1E30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І.</w:t>
            </w: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 xml:space="preserve"> Картографія та основи топографії</w:t>
            </w:r>
            <w:r w:rsidR="004D5C2A"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lang w:val="uk-UA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4D5C2A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595805" w:rsidRPr="006D1E30" w:rsidRDefault="004D5C2A" w:rsidP="004D5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0,5/</w:t>
            </w:r>
            <w:r w:rsidR="00595805"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595805" w:rsidRPr="006D1E30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ІІ.</w:t>
            </w: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 xml:space="preserve"> Географічні задачі та методика їх розв’язування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4D5C2A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595805" w:rsidRPr="006D1E30" w:rsidRDefault="004D5C2A" w:rsidP="004D5C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0,5/</w:t>
            </w:r>
            <w:r w:rsidR="00595805"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595805" w:rsidRPr="006D1E30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</w:rPr>
              <w:t>Модуль ІІІ.</w:t>
            </w:r>
            <w:r w:rsidRPr="006D1E30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  <w:highlight w:val="white"/>
                <w:lang w:val="uk-UA"/>
              </w:rPr>
              <w:t xml:space="preserve"> </w:t>
            </w:r>
            <w:proofErr w:type="spellStart"/>
            <w:r w:rsidR="004D5C2A" w:rsidRPr="006D1E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Географо-краєзнавчі</w:t>
            </w:r>
            <w:proofErr w:type="spellEnd"/>
            <w:r w:rsidR="004D5C2A" w:rsidRPr="006D1E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дослідження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C3336D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4D5C2A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595805" w:rsidRPr="006D1E30" w:rsidRDefault="00595805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30" w:type="dxa"/>
            <w:shd w:val="clear" w:color="auto" w:fill="FFFFFF"/>
          </w:tcPr>
          <w:p w:rsidR="00595805" w:rsidRPr="006D1E30" w:rsidRDefault="004D5C2A" w:rsidP="005958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D1E3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1/30</w:t>
            </w:r>
          </w:p>
        </w:tc>
      </w:tr>
    </w:tbl>
    <w:p w:rsidR="004D5C2A" w:rsidRPr="006D1E30" w:rsidRDefault="004D5C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4F6B76" w:rsidRPr="006D1E30" w:rsidRDefault="00275E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Особа / особи, які виконують програму: освіта, категорія, науковий ступінь, педагогічне / вчене звання, досвід роботи: </w:t>
      </w:r>
    </w:p>
    <w:p w:rsidR="004F6B76" w:rsidRP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кандидат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географ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ічних</w:t>
      </w:r>
      <w:proofErr w:type="spellEnd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наук,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доцент, завідувач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кафедри географії та природознавства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Я.Д. 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Атаманюк</w:t>
      </w:r>
      <w:proofErr w:type="spellEnd"/>
    </w:p>
    <w:p w:rsidR="006D1E30" w:rsidRDefault="004D5C2A" w:rsidP="004D5C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кандидат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географ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ічних</w:t>
      </w:r>
      <w:proofErr w:type="spellEnd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наук,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доцент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кафедри географії та природознавства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p w:rsidR="004D5C2A" w:rsidRPr="006D1E30" w:rsidRDefault="004D5C2A" w:rsidP="004D5C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Н.В. 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Бєлова</w:t>
      </w:r>
      <w:proofErr w:type="spellEnd"/>
    </w:p>
    <w:p w:rsid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кандидат педагогічних наук, доцент кафедри географії та природознавства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p w:rsidR="004F6B76" w:rsidRP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Й.Р. 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Гілецький</w:t>
      </w:r>
      <w:proofErr w:type="spellEnd"/>
    </w:p>
    <w:p w:rsid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кандидат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географ</w:t>
      </w:r>
      <w:proofErr w:type="spellStart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ічних</w:t>
      </w:r>
      <w:proofErr w:type="spellEnd"/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наук,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доцент 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кафедри географії та природознавства</w:t>
      </w: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p w:rsidR="004F6B76" w:rsidRPr="006D1E30" w:rsidRDefault="004F6B76" w:rsidP="004F6B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D1E30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Н.В. Фоменко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0867C3" w:rsidRPr="006D1E30" w:rsidRDefault="00275E8A" w:rsidP="004F6B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Терміни виконання програми: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4F6B76" w:rsidRPr="006D1E30">
        <w:rPr>
          <w:rFonts w:ascii="Times New Roman" w:hAnsi="Times New Roman" w:cs="Times New Roman"/>
          <w:sz w:val="26"/>
          <w:szCs w:val="26"/>
          <w:u w:val="single"/>
        </w:rPr>
        <w:t>упродовж двох тижнів</w:t>
      </w:r>
    </w:p>
    <w:p w:rsidR="000867C3" w:rsidRPr="006D1E30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</w:pPr>
    </w:p>
    <w:p w:rsidR="004F6B76" w:rsidRPr="006D1E30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D1E30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Очікувані результати навчання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</w:p>
    <w:p w:rsidR="004F6B76" w:rsidRPr="006E2167" w:rsidRDefault="004F6B7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</w:rPr>
        <w:t xml:space="preserve">1. Здатність продемонструвати знання, набуті у процесі </w:t>
      </w:r>
      <w:r w:rsidRPr="006E2167">
        <w:rPr>
          <w:rFonts w:ascii="Times New Roman" w:hAnsi="Times New Roman" w:cs="Times New Roman"/>
          <w:sz w:val="26"/>
          <w:szCs w:val="26"/>
          <w:lang w:val="uk-UA"/>
        </w:rPr>
        <w:t>підвищення кваліфікації</w:t>
      </w:r>
      <w:r w:rsidR="009311A6" w:rsidRPr="006E2167">
        <w:rPr>
          <w:rFonts w:ascii="Times New Roman" w:hAnsi="Times New Roman" w:cs="Times New Roman"/>
          <w:sz w:val="26"/>
          <w:szCs w:val="26"/>
          <w:lang w:val="uk-UA"/>
        </w:rPr>
        <w:t xml:space="preserve"> при організації </w:t>
      </w:r>
      <w:proofErr w:type="spellStart"/>
      <w:r w:rsidR="009311A6" w:rsidRPr="006E2167">
        <w:rPr>
          <w:rFonts w:ascii="Times New Roman" w:hAnsi="Times New Roman" w:cs="Times New Roman"/>
          <w:sz w:val="26"/>
          <w:szCs w:val="26"/>
          <w:lang w:val="uk-UA"/>
        </w:rPr>
        <w:t>конференції-вебінару</w:t>
      </w:r>
      <w:proofErr w:type="spellEnd"/>
      <w:r w:rsidRPr="006E2167">
        <w:rPr>
          <w:rFonts w:ascii="Times New Roman" w:hAnsi="Times New Roman" w:cs="Times New Roman"/>
          <w:sz w:val="26"/>
          <w:szCs w:val="26"/>
        </w:rPr>
        <w:t>.</w:t>
      </w:r>
    </w:p>
    <w:p w:rsidR="004F6B76" w:rsidRPr="006E2167" w:rsidRDefault="004F6B7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</w:rPr>
        <w:t xml:space="preserve">2. Здатність критичного осмислення основних </w:t>
      </w:r>
      <w:r w:rsidR="009311A6" w:rsidRPr="006E2167">
        <w:rPr>
          <w:rFonts w:ascii="Times New Roman" w:hAnsi="Times New Roman" w:cs="Times New Roman"/>
          <w:sz w:val="26"/>
          <w:szCs w:val="26"/>
          <w:lang w:val="uk-UA"/>
        </w:rPr>
        <w:t xml:space="preserve">сучасних </w:t>
      </w:r>
      <w:r w:rsidRPr="006E2167">
        <w:rPr>
          <w:rFonts w:ascii="Times New Roman" w:hAnsi="Times New Roman" w:cs="Times New Roman"/>
          <w:sz w:val="26"/>
          <w:szCs w:val="26"/>
        </w:rPr>
        <w:t xml:space="preserve">теорій, принципів, методів і понять </w:t>
      </w:r>
      <w:r w:rsidR="009311A6" w:rsidRPr="006E2167">
        <w:rPr>
          <w:rFonts w:ascii="Times New Roman" w:hAnsi="Times New Roman" w:cs="Times New Roman"/>
          <w:sz w:val="26"/>
          <w:szCs w:val="26"/>
          <w:lang w:val="uk-UA"/>
        </w:rPr>
        <w:t>географії та краєзнавства</w:t>
      </w:r>
      <w:r w:rsidRPr="006E2167">
        <w:rPr>
          <w:rFonts w:ascii="Times New Roman" w:hAnsi="Times New Roman" w:cs="Times New Roman"/>
          <w:sz w:val="26"/>
          <w:szCs w:val="26"/>
        </w:rPr>
        <w:t>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4F6B76" w:rsidRPr="006E2167">
        <w:rPr>
          <w:rFonts w:ascii="Times New Roman" w:hAnsi="Times New Roman" w:cs="Times New Roman"/>
          <w:sz w:val="26"/>
          <w:szCs w:val="26"/>
        </w:rPr>
        <w:t xml:space="preserve">. Уміння виконувати відповідні </w:t>
      </w:r>
      <w:proofErr w:type="spellStart"/>
      <w:r w:rsidRPr="006E2167">
        <w:rPr>
          <w:rFonts w:ascii="Times New Roman" w:hAnsi="Times New Roman" w:cs="Times New Roman"/>
          <w:sz w:val="26"/>
          <w:szCs w:val="26"/>
          <w:lang w:val="uk-UA"/>
        </w:rPr>
        <w:t>географо-краєзнавчі</w:t>
      </w:r>
      <w:proofErr w:type="spellEnd"/>
      <w:r w:rsidRPr="006E2167">
        <w:rPr>
          <w:rFonts w:ascii="Times New Roman" w:hAnsi="Times New Roman" w:cs="Times New Roman"/>
          <w:sz w:val="26"/>
          <w:szCs w:val="26"/>
          <w:lang w:val="uk-UA"/>
        </w:rPr>
        <w:t xml:space="preserve"> дослідження</w:t>
      </w:r>
      <w:r w:rsidR="004F6B76" w:rsidRPr="006E2167">
        <w:rPr>
          <w:rFonts w:ascii="Times New Roman" w:hAnsi="Times New Roman" w:cs="Times New Roman"/>
          <w:sz w:val="26"/>
          <w:szCs w:val="26"/>
        </w:rPr>
        <w:t xml:space="preserve"> та застосовувати дослідницькі навики за професійною </w:t>
      </w:r>
      <w:r w:rsidRPr="006E2167">
        <w:rPr>
          <w:rFonts w:ascii="Times New Roman" w:hAnsi="Times New Roman" w:cs="Times New Roman"/>
          <w:sz w:val="26"/>
          <w:szCs w:val="26"/>
          <w:lang w:val="uk-UA"/>
        </w:rPr>
        <w:t xml:space="preserve">географічною </w:t>
      </w:r>
      <w:r w:rsidR="004F6B76" w:rsidRPr="006E2167">
        <w:rPr>
          <w:rFonts w:ascii="Times New Roman" w:hAnsi="Times New Roman" w:cs="Times New Roman"/>
          <w:sz w:val="26"/>
          <w:szCs w:val="26"/>
        </w:rPr>
        <w:t>тематикою.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F6B76" w:rsidRPr="006E2167">
        <w:rPr>
          <w:rFonts w:ascii="Times New Roman" w:hAnsi="Times New Roman" w:cs="Times New Roman"/>
          <w:sz w:val="26"/>
          <w:szCs w:val="26"/>
        </w:rPr>
        <w:t xml:space="preserve">. Вміти здійснювати пошук інформації в різних </w:t>
      </w:r>
      <w:r w:rsidRPr="006E2167">
        <w:rPr>
          <w:rFonts w:ascii="Times New Roman" w:hAnsi="Times New Roman" w:cs="Times New Roman"/>
          <w:sz w:val="26"/>
          <w:szCs w:val="26"/>
          <w:lang w:val="uk-UA"/>
        </w:rPr>
        <w:t xml:space="preserve">інформаційних </w:t>
      </w:r>
      <w:r w:rsidR="004F6B76" w:rsidRPr="006E2167">
        <w:rPr>
          <w:rFonts w:ascii="Times New Roman" w:hAnsi="Times New Roman" w:cs="Times New Roman"/>
          <w:sz w:val="26"/>
          <w:szCs w:val="26"/>
        </w:rPr>
        <w:t>джерелах для розв’язування професійно-педагогічних ситуацій.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4F6B76" w:rsidRPr="006E2167">
        <w:rPr>
          <w:rFonts w:ascii="Times New Roman" w:hAnsi="Times New Roman" w:cs="Times New Roman"/>
          <w:sz w:val="26"/>
          <w:szCs w:val="26"/>
        </w:rPr>
        <w:t>. Здатність до творчого пошуку, нестандартного розв’язання педагогічних проблем і ситуацій, ефективного розв’язання освітніх проблем нестандартними способами.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F6B76" w:rsidRPr="006E2167">
        <w:rPr>
          <w:rFonts w:ascii="Times New Roman" w:hAnsi="Times New Roman" w:cs="Times New Roman"/>
          <w:sz w:val="26"/>
          <w:szCs w:val="26"/>
        </w:rPr>
        <w:t>. Здатність застосувати знання основних правил організації польових і камеральних досліджень із школярами, найбільш вживані методи географічних досліджень.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4F6B76" w:rsidRPr="006E2167">
        <w:rPr>
          <w:rFonts w:ascii="Times New Roman" w:hAnsi="Times New Roman" w:cs="Times New Roman"/>
          <w:sz w:val="26"/>
          <w:szCs w:val="26"/>
        </w:rPr>
        <w:t>. Здатність зрозуміло доносити власні висновки, знання та їх обґрунтування до осіб, які навчаються, користуючись основними поняттями та термінами професійно-орієнтованих дисциплін з обраної спеціальності.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lastRenderedPageBreak/>
        <w:t>8</w:t>
      </w:r>
      <w:r w:rsidR="004F6B76" w:rsidRPr="006E2167">
        <w:rPr>
          <w:rFonts w:ascii="Times New Roman" w:hAnsi="Times New Roman" w:cs="Times New Roman"/>
          <w:sz w:val="26"/>
          <w:szCs w:val="26"/>
        </w:rPr>
        <w:t>. Вміти застосовувати професійно профільовані природничо-наукові знання і практичні уміння і навички, які є теоретичними основами побудови змісту навчального матеріалу дисциплін фізико-географічно циклу основної і старшої школи.</w:t>
      </w:r>
    </w:p>
    <w:p w:rsidR="004F6B76" w:rsidRPr="006E2167" w:rsidRDefault="009311A6" w:rsidP="004F6B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4F6B76" w:rsidRPr="006E2167">
        <w:rPr>
          <w:rFonts w:ascii="Times New Roman" w:hAnsi="Times New Roman" w:cs="Times New Roman"/>
          <w:sz w:val="26"/>
          <w:szCs w:val="26"/>
        </w:rPr>
        <w:t xml:space="preserve">. Вміти </w:t>
      </w:r>
      <w:proofErr w:type="spellStart"/>
      <w:r w:rsidR="004F6B76" w:rsidRPr="006E2167">
        <w:rPr>
          <w:rFonts w:ascii="Times New Roman" w:hAnsi="Times New Roman" w:cs="Times New Roman"/>
          <w:sz w:val="26"/>
          <w:szCs w:val="26"/>
        </w:rPr>
        <w:t>актуалізовувати</w:t>
      </w:r>
      <w:proofErr w:type="spellEnd"/>
      <w:r w:rsidR="004F6B76" w:rsidRPr="006E2167">
        <w:rPr>
          <w:rFonts w:ascii="Times New Roman" w:hAnsi="Times New Roman" w:cs="Times New Roman"/>
          <w:sz w:val="26"/>
          <w:szCs w:val="26"/>
        </w:rPr>
        <w:t xml:space="preserve"> та застосовувати комунікативні знання, навички, уміння, установки, стратегії і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школярами, батьками, колегами.</w:t>
      </w:r>
    </w:p>
    <w:p w:rsidR="000867C3" w:rsidRPr="006E2167" w:rsidRDefault="009311A6" w:rsidP="004F6B76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4F6B76" w:rsidRPr="006E2167">
        <w:rPr>
          <w:rFonts w:ascii="Times New Roman" w:hAnsi="Times New Roman" w:cs="Times New Roman"/>
          <w:sz w:val="26"/>
          <w:szCs w:val="26"/>
        </w:rPr>
        <w:t>. Здатність самостійно створювати наочні матеріали з використанням ПК, картографічні матеріали з метою оцінки, моделювання та прогнозування у шкільній географічній освіті.</w:t>
      </w:r>
    </w:p>
    <w:p w:rsidR="004F6B76" w:rsidRPr="006E2167" w:rsidRDefault="004F6B76" w:rsidP="004F6B7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D17CDF" w:rsidRDefault="00D17CDF" w:rsidP="00D17C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D17CDF" w:rsidRDefault="00D17CDF" w:rsidP="00D17C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D17CDF" w:rsidRPr="00A020FC" w:rsidRDefault="00D17CDF" w:rsidP="00D17C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17CDF" w:rsidRPr="00A020FC" w:rsidRDefault="00D17CDF" w:rsidP="00D17CDF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  <w:lang w:val="uk-UA"/>
        </w:rPr>
        <w:t>:  відповідно до плану графіка</w:t>
      </w:r>
    </w:p>
    <w:p w:rsidR="00D17CDF" w:rsidRPr="00A020FC" w:rsidRDefault="00D17CDF" w:rsidP="00D17CD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D17CDF" w:rsidRPr="00A020FC" w:rsidRDefault="00D17CDF" w:rsidP="00D17C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A020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Мінімальна та максимальна кількість осіб у групі: </w:t>
      </w:r>
    </w:p>
    <w:p w:rsidR="00D17CDF" w:rsidRPr="00A020FC" w:rsidRDefault="00D17CDF" w:rsidP="00D17C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20FC">
        <w:rPr>
          <w:rFonts w:ascii="Times New Roman" w:hAnsi="Times New Roman" w:cs="Times New Roman"/>
          <w:sz w:val="26"/>
          <w:szCs w:val="26"/>
          <w:lang w:val="uk-UA"/>
        </w:rPr>
        <w:t>мінімальна кількість – 10 осіб; максимальна – 25 осіб</w:t>
      </w:r>
    </w:p>
    <w:p w:rsidR="00D17CDF" w:rsidRPr="00D5746A" w:rsidRDefault="00D17CDF" w:rsidP="00D17C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  <w:lang w:val="uk-UA"/>
        </w:rPr>
      </w:pPr>
    </w:p>
    <w:p w:rsidR="00D17CDF" w:rsidRPr="005932BD" w:rsidRDefault="00D17CDF" w:rsidP="00D17C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D17CDF" w:rsidRPr="005932BD" w:rsidRDefault="00D17CDF" w:rsidP="00D17C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D17CDF" w:rsidRPr="005932BD" w:rsidRDefault="00D17CDF" w:rsidP="00D17C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D17CDF" w:rsidRPr="005932BD" w:rsidRDefault="00D17CDF" w:rsidP="00D17C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D17CDF" w:rsidRPr="005932BD" w:rsidRDefault="00D17CDF" w:rsidP="00D17C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0867C3" w:rsidRPr="00D17CDF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0867C3" w:rsidRPr="006E2167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="004D5C2A" w:rsidRPr="006E2167"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>свідоцтво</w:t>
      </w:r>
    </w:p>
    <w:p w:rsidR="000867C3" w:rsidRPr="006D1E30" w:rsidRDefault="000867C3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311A6" w:rsidRPr="006E2167" w:rsidRDefault="00275E8A" w:rsidP="009311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9311A6" w:rsidRPr="006E2167" w:rsidRDefault="009311A6" w:rsidP="009311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завідувач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кафедри географії та природознавства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,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кандидат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географ</w:t>
      </w:r>
      <w:proofErr w:type="spellStart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ічних</w:t>
      </w:r>
      <w:proofErr w:type="spellEnd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 наук,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доцент, Я.Д. </w:t>
      </w:r>
      <w:proofErr w:type="spellStart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>Атаманюк</w:t>
      </w:r>
      <w:proofErr w:type="spellEnd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p w:rsidR="000867C3" w:rsidRPr="006E2167" w:rsidRDefault="009311A6" w:rsidP="00371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доцент кафедри географії та природознавства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,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кандидат педагогічних наук,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доцент </w:t>
      </w:r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 xml:space="preserve">Й.Р. </w:t>
      </w:r>
      <w:proofErr w:type="spellStart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</w:rPr>
        <w:t>Гілецький</w:t>
      </w:r>
      <w:proofErr w:type="spellEnd"/>
      <w:r w:rsidRPr="006E2167">
        <w:rPr>
          <w:rFonts w:ascii="Times New Roman" w:eastAsia="Times New Roman" w:hAnsi="Times New Roman" w:cs="Times New Roman"/>
          <w:bCs/>
          <w:iCs/>
          <w:color w:val="262626"/>
          <w:sz w:val="26"/>
          <w:szCs w:val="26"/>
          <w:lang w:val="uk-UA"/>
        </w:rPr>
        <w:t xml:space="preserve"> </w:t>
      </w:r>
    </w:p>
    <w:sectPr w:rsidR="000867C3" w:rsidRPr="006E2167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867C3"/>
    <w:rsid w:val="000E6A2C"/>
    <w:rsid w:val="00275E8A"/>
    <w:rsid w:val="00371657"/>
    <w:rsid w:val="004D5C2A"/>
    <w:rsid w:val="004F6B76"/>
    <w:rsid w:val="00595805"/>
    <w:rsid w:val="006D1E30"/>
    <w:rsid w:val="006E2167"/>
    <w:rsid w:val="009311A6"/>
    <w:rsid w:val="00AB1948"/>
    <w:rsid w:val="00C3336D"/>
    <w:rsid w:val="00D17CDF"/>
    <w:rsid w:val="00D946AF"/>
    <w:rsid w:val="00F0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character" w:customStyle="1" w:styleId="rvts0">
    <w:name w:val="rvts0"/>
    <w:rsid w:val="004F6B76"/>
  </w:style>
  <w:style w:type="paragraph" w:customStyle="1" w:styleId="10">
    <w:name w:val="Абзац списка1"/>
    <w:basedOn w:val="a"/>
    <w:uiPriority w:val="99"/>
    <w:qFormat/>
    <w:rsid w:val="004F6B76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b">
    <w:name w:val="Hyperlink"/>
    <w:basedOn w:val="a0"/>
    <w:uiPriority w:val="99"/>
    <w:unhideWhenUsed/>
    <w:rsid w:val="00931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character" w:customStyle="1" w:styleId="rvts0">
    <w:name w:val="rvts0"/>
    <w:rsid w:val="004F6B76"/>
  </w:style>
  <w:style w:type="paragraph" w:customStyle="1" w:styleId="10">
    <w:name w:val="Абзац списка1"/>
    <w:basedOn w:val="a"/>
    <w:uiPriority w:val="99"/>
    <w:qFormat/>
    <w:rsid w:val="004F6B76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styleId="ab">
    <w:name w:val="Hyperlink"/>
    <w:basedOn w:val="a0"/>
    <w:uiPriority w:val="99"/>
    <w:unhideWhenUsed/>
    <w:rsid w:val="0093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yp.hiletskyi@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roslava.atamaniuk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6000</Words>
  <Characters>3420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</dc:creator>
  <cp:lastModifiedBy>Admin</cp:lastModifiedBy>
  <cp:revision>8</cp:revision>
  <dcterms:created xsi:type="dcterms:W3CDTF">2021-06-22T07:40:00Z</dcterms:created>
  <dcterms:modified xsi:type="dcterms:W3CDTF">2021-10-08T10:08:00Z</dcterms:modified>
</cp:coreProperties>
</file>