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036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710"/>
        <w:gridCol w:w="5953"/>
        <w:gridCol w:w="1601"/>
        <w:gridCol w:w="9"/>
      </w:tblGrid>
      <w:tr w:rsidR="00D57AF6" w:rsidRPr="00DA312E" w:rsidTr="00DA312E">
        <w:tc>
          <w:tcPr>
            <w:tcW w:w="103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Опис</w:t>
            </w:r>
            <w:r w:rsidR="00DA312E"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 підвищення</w:t>
            </w:r>
            <w:r w:rsidR="00DA312E"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кваліфікації вчителів історії</w:t>
            </w:r>
          </w:p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</w:tr>
      <w:tr w:rsidR="00D57AF6" w:rsidRPr="00B92104" w:rsidTr="00D57AF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Найменування програми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pStyle w:val="11"/>
              <w:spacing w:line="276" w:lineRule="auto"/>
              <w:ind w:left="0"/>
              <w:rPr>
                <w:b w:val="0"/>
                <w:sz w:val="18"/>
                <w:szCs w:val="18"/>
              </w:rPr>
            </w:pPr>
            <w:r w:rsidRPr="00DA312E">
              <w:rPr>
                <w:b w:val="0"/>
                <w:sz w:val="18"/>
                <w:szCs w:val="18"/>
              </w:rPr>
              <w:t>Програма підвищення кваліфікації учителів історії</w:t>
            </w:r>
          </w:p>
        </w:tc>
      </w:tr>
      <w:tr w:rsidR="00D57AF6" w:rsidRPr="00DA312E" w:rsidTr="00D57AF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Мета програми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9F096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Удосконалення ключових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 межах професійної діяльності з урахуванням вимог професійного стандарту та стандарту освіти 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>зі спеціальності 014.03 Середня освіта (Історія)</w:t>
            </w:r>
          </w:p>
        </w:tc>
      </w:tr>
      <w:tr w:rsidR="00D57AF6" w:rsidRPr="00B92104" w:rsidTr="00D57AF6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Напрям програми</w:t>
            </w:r>
          </w:p>
        </w:tc>
        <w:tc>
          <w:tcPr>
            <w:tcW w:w="8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9F096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Підвищення кваліфікації фахівців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зі спеціальності 014.03 Середня освіта (Історія)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Зміст</w:t>
            </w:r>
            <w:r w:rsidR="00B9210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Навчальні</w:t>
            </w:r>
            <w:r w:rsidR="00B9210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модулі для конструювання</w:t>
            </w:r>
            <w:r w:rsidR="00B9210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освітньої</w:t>
            </w:r>
            <w:r w:rsidR="00B92104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програми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№ з/п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Назва модуля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137112" w:rsidRDefault="00D57AF6" w:rsidP="001B05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13711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К</w:t>
            </w:r>
            <w:r w:rsidR="00EC69C4" w:rsidRPr="0013711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ількість годин </w:t>
            </w:r>
            <w:r w:rsidR="001B05D8" w:rsidRPr="0013711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br/>
            </w:r>
            <w:r w:rsidRPr="00137112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у модулі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pStyle w:val="TableParagraph"/>
              <w:tabs>
                <w:tab w:val="left" w:pos="326"/>
              </w:tabs>
              <w:spacing w:line="276" w:lineRule="auto"/>
              <w:ind w:left="35"/>
              <w:jc w:val="both"/>
              <w:rPr>
                <w:b/>
                <w:sz w:val="18"/>
                <w:szCs w:val="18"/>
                <w:lang w:val="uk-UA"/>
              </w:rPr>
            </w:pPr>
            <w:r w:rsidRPr="00DA312E">
              <w:rPr>
                <w:b/>
                <w:sz w:val="18"/>
                <w:szCs w:val="18"/>
                <w:lang w:val="uk-UA"/>
              </w:rPr>
              <w:t xml:space="preserve">Модуль 1. Світоглядні основи професійного розвитку педагога. </w:t>
            </w:r>
          </w:p>
          <w:p w:rsidR="00D57AF6" w:rsidRPr="00DA312E" w:rsidRDefault="00D57AF6">
            <w:pPr>
              <w:pStyle w:val="TableParagraph"/>
              <w:tabs>
                <w:tab w:val="left" w:pos="326"/>
              </w:tabs>
              <w:spacing w:line="276" w:lineRule="auto"/>
              <w:ind w:left="35"/>
              <w:jc w:val="both"/>
              <w:rPr>
                <w:sz w:val="18"/>
                <w:szCs w:val="18"/>
                <w:lang w:val="uk-UA"/>
              </w:rPr>
            </w:pPr>
            <w:r w:rsidRPr="00DA312E">
              <w:rPr>
                <w:b/>
                <w:sz w:val="18"/>
                <w:szCs w:val="18"/>
                <w:lang w:val="uk-UA"/>
              </w:rPr>
              <w:t>Змістовні лінії:</w:t>
            </w:r>
          </w:p>
          <w:p w:rsidR="00D57AF6" w:rsidRPr="00DA312E" w:rsidRDefault="00D57AF6" w:rsidP="009F347D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DA312E">
              <w:rPr>
                <w:sz w:val="18"/>
                <w:szCs w:val="18"/>
                <w:lang w:val="uk-UA"/>
              </w:rPr>
              <w:t xml:space="preserve">Державна стратегія розвитку освіти. «Законодавче забезпечення системи освіти та професійного розвитку педагога в Україні. </w:t>
            </w:r>
          </w:p>
          <w:p w:rsidR="00D57AF6" w:rsidRPr="00DA312E" w:rsidRDefault="00D57AF6" w:rsidP="009F347D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sz w:val="18"/>
                <w:szCs w:val="18"/>
                <w:lang w:val="uk-UA"/>
              </w:rPr>
            </w:pPr>
            <w:r w:rsidRPr="00DA312E">
              <w:rPr>
                <w:sz w:val="18"/>
                <w:szCs w:val="18"/>
                <w:lang w:val="uk-UA"/>
              </w:rPr>
              <w:t>Здорове і безпечне середовище закладу освіти – складова професійного благополуччя і розвитку.</w:t>
            </w:r>
          </w:p>
          <w:p w:rsidR="00D57AF6" w:rsidRPr="00DA312E" w:rsidRDefault="00D57AF6" w:rsidP="009F347D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line="276" w:lineRule="auto"/>
              <w:ind w:left="35" w:firstLine="0"/>
              <w:jc w:val="both"/>
              <w:rPr>
                <w:b/>
                <w:sz w:val="18"/>
                <w:szCs w:val="18"/>
                <w:lang w:val="ru-RU"/>
              </w:rPr>
            </w:pPr>
            <w:r w:rsidRPr="00DA312E">
              <w:rPr>
                <w:sz w:val="18"/>
                <w:szCs w:val="18"/>
                <w:lang w:val="uk-UA"/>
              </w:rPr>
              <w:t xml:space="preserve">Ціннісні та </w:t>
            </w:r>
            <w:proofErr w:type="spellStart"/>
            <w:r w:rsidRPr="00DA312E">
              <w:rPr>
                <w:sz w:val="18"/>
                <w:szCs w:val="18"/>
                <w:lang w:val="uk-UA"/>
              </w:rPr>
              <w:t>діяльнісні</w:t>
            </w:r>
            <w:proofErr w:type="spellEnd"/>
            <w:r w:rsidRPr="00DA312E">
              <w:rPr>
                <w:sz w:val="18"/>
                <w:szCs w:val="18"/>
                <w:lang w:val="uk-UA"/>
              </w:rPr>
              <w:t xml:space="preserve"> засади професійного розвитку педагога.</w:t>
            </w:r>
          </w:p>
          <w:p w:rsidR="00D57AF6" w:rsidRPr="00DA312E" w:rsidRDefault="00D57AF6" w:rsidP="009F347D">
            <w:pPr>
              <w:pStyle w:val="a6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Мовленнєва</w:t>
            </w:r>
            <w:r w:rsidR="006A51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компетентність педагога.</w:t>
            </w:r>
          </w:p>
          <w:p w:rsidR="00D57AF6" w:rsidRPr="00DA312E" w:rsidRDefault="00D57AF6" w:rsidP="009F347D">
            <w:pPr>
              <w:pStyle w:val="a6"/>
              <w:numPr>
                <w:ilvl w:val="0"/>
                <w:numId w:val="1"/>
              </w:numPr>
              <w:tabs>
                <w:tab w:val="left" w:pos="326"/>
                <w:tab w:val="left" w:pos="506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Інфомедійна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грамотність як ключова компетенція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діджиталізованого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суспільства та головна умова якісної освіти.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137112" w:rsidRDefault="00D57AF6">
            <w:pPr>
              <w:pStyle w:val="TableParagraph"/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val="uk-UA"/>
              </w:rPr>
            </w:pPr>
            <w:r w:rsidRPr="00137112">
              <w:rPr>
                <w:b/>
                <w:color w:val="000000" w:themeColor="text1"/>
                <w:sz w:val="18"/>
                <w:szCs w:val="18"/>
                <w:lang w:val="uk-UA"/>
              </w:rPr>
              <w:t>10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Модуль 2. Психологія, педагогіка та  інклюзивна освіта</w:t>
            </w:r>
          </w:p>
          <w:p w:rsidR="00D57AF6" w:rsidRPr="00DA312E" w:rsidRDefault="00D57A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Змістовні лінії:</w:t>
            </w:r>
          </w:p>
          <w:p w:rsidR="00D57AF6" w:rsidRPr="00DA312E" w:rsidRDefault="00D57AF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1. Основи інклюзивного навчання; діти з особливими потребами: особливості навчання та розвитку, психолого-педагогічні умови їх підтримки в освітньому процесі; універсальний дизайн в освіті.</w:t>
            </w:r>
          </w:p>
          <w:p w:rsidR="00D57AF6" w:rsidRPr="00DA312E" w:rsidRDefault="00D57AF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2. Створення соціально безпечного освітнього середовища: профілактика та подолання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булінгу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 шкільного насилля у закладах освіти; сучасні проблеми адаптації та соціалізації особистості; формування соціальних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особистості в процесі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нейроменеджменту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</w:p>
          <w:p w:rsidR="00D57AF6" w:rsidRPr="00DA312E" w:rsidRDefault="00D57AF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 Педагогіка партнерства: взаємодія з батьками; педагогіка партнерства та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компетентнісний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підхід у роботі вчителя; педагогічний супровід талановитих дітей; розвиток емоційної компетентності педагога.</w:t>
            </w:r>
          </w:p>
          <w:p w:rsidR="00D57AF6" w:rsidRPr="00DA312E" w:rsidRDefault="00D57AF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4. Розвиток психологічної компетентності педагога: психологічні особливості розвитку дитини на різних вікових етапах; стратегії і тактики попередження професійного стресу; психологія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тімбілдінгу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командотворення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); психодіагностика особистості учня, психологія класного менеджменту.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eastAsia="Times New Roman" w:hAnsi="Times New Roman"/>
                <w:b/>
                <w:sz w:val="18"/>
                <w:szCs w:val="18"/>
                <w:lang w:eastAsia="en-US"/>
              </w:rPr>
              <w:t>12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Модуль 3. Організаційно-методичні засади розвитку професійної  компетентності вчителя</w:t>
            </w:r>
            <w:r w:rsidRPr="00DA312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.</w:t>
            </w:r>
          </w:p>
          <w:p w:rsidR="00D57AF6" w:rsidRPr="00DA312E" w:rsidRDefault="00D57AF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Змістовні лінії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 w:rsidP="009F096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36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9F347D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Інформаційні, цифрові технології в освітньому процесі, Е-навчання,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кібербезпека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, тощо.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 w:rsidP="009F0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9F347D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5" w:firstLine="0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Професійні компетентності (знання предмета, фахових методик, технологій).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9F0960" w:rsidRDefault="00D57AF6" w:rsidP="009F0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9F0960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</w:t>
            </w:r>
            <w:r w:rsidR="009F0960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1B05D8">
            <w:pPr>
              <w:pStyle w:val="a6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Державна освітня політика в галузі </w:t>
            </w:r>
            <w:r w:rsidR="001B05D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01 Освіта/Педагогіка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: практична реалізація Державного стандарту базової середньої освіти, Законів України «Про освіту» та </w:t>
            </w:r>
            <w:r w:rsidRPr="00DA312E">
              <w:rPr>
                <w:sz w:val="18"/>
                <w:szCs w:val="18"/>
                <w:lang w:eastAsia="en-US"/>
              </w:rPr>
              <w:t>«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Про повну загальну середню освіту”, нормативно-правове забезпечення викладання предметів освітньої галузі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137112">
            <w:pPr>
              <w:pStyle w:val="a6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Сучасний урок історії: практична реалізація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компетентнісного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діяльнісного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та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особистісноорієнтованого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підходів; методика </w:t>
            </w:r>
            <w:r w:rsidR="001B05D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-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форми, методи та методичні прийоми, типи уроків та їх структура; технології, що розвивають і формують </w:t>
            </w:r>
            <w:r w:rsidR="001B05D8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компетентності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4К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1B05D8">
            <w:pPr>
              <w:pStyle w:val="a6"/>
              <w:tabs>
                <w:tab w:val="left" w:pos="318"/>
              </w:tabs>
              <w:spacing w:after="0" w:line="240" w:lineRule="auto"/>
              <w:ind w:left="35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Сучасний учитель як провідник змін у контексті Концепції Нової української школи: професійні компетентності, ролі та завдання, безперервна освіта (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евтагогіка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) для самореалізації та конкурентоспроможності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pStyle w:val="a4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DA312E">
              <w:rPr>
                <w:i/>
                <w:sz w:val="18"/>
                <w:szCs w:val="18"/>
                <w:lang w:eastAsia="en-US"/>
              </w:rPr>
              <w:t>Методологія.</w:t>
            </w:r>
            <w:r w:rsidR="006A5177">
              <w:rPr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bCs/>
                <w:color w:val="000000"/>
                <w:sz w:val="18"/>
                <w:szCs w:val="18"/>
                <w:lang w:eastAsia="en-US"/>
              </w:rPr>
              <w:t>Принцип історизму як один із загальних методологічних принципів наукового пізнання суспільних явищ.</w:t>
            </w:r>
            <w:r w:rsidR="006A5177">
              <w:rPr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sz w:val="18"/>
                <w:szCs w:val="18"/>
                <w:lang w:eastAsia="en-US"/>
              </w:rPr>
              <w:t>Синтез теорії прогресу та теорії локальних цивілізацій. Цивілізаційна теорія – поєднання антропологічних, етнічних, культурних компонентів людської історії, врахування територіально-географічного принципу (Р. 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Арон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>, Е. Дюркгейм, Г. 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Спенсер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А. Той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нбі,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С. Хантінг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>тон та ін.). Постмодерністські парадигми. Я. 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Верменич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М. Горє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лов, О. Моця,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О. Рафальсь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кий, Г. Касьянов, Л. Пирогова-Таран – вітчизняна минувшина як історія сільської й міської цивілізацій, як нелінійний процес.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Антропологічно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 орієнтована історія.</w:t>
            </w:r>
            <w:r w:rsidR="006A5177">
              <w:rPr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sz w:val="18"/>
                <w:szCs w:val="18"/>
                <w:lang w:eastAsia="en-US"/>
              </w:rPr>
              <w:t xml:space="preserve">Школа “Анналів” або “нова </w:t>
            </w:r>
            <w:r w:rsidRPr="00DA312E">
              <w:rPr>
                <w:sz w:val="18"/>
                <w:szCs w:val="18"/>
                <w:lang w:eastAsia="en-US"/>
              </w:rPr>
              <w:lastRenderedPageBreak/>
              <w:t xml:space="preserve">історична наука”. Використання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антропосоціокультурного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 підходу для дослідження у динаміці взаємозв’язку особистісного та суспільного, “життєвий досвід” тих чи тих соціальних груп. Застосування соціокультурного підходу. Суспільство та культура – як цілісні системи і як певна синтетична модель, інтегральний розгляд подій та явищ на перетині дисциплін.</w:t>
            </w:r>
            <w:r w:rsidR="006A5177">
              <w:rPr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sz w:val="18"/>
                <w:szCs w:val="18"/>
                <w:lang w:eastAsia="en-US"/>
              </w:rPr>
              <w:t>Концепція про три історичні типи цивілізацій: аграрна, індустріальна, постіндустріальна(Д. 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Белл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О. Тофф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лер). Проблеми можливості використання синергетичного підходу (теорії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саморганізації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) в історичній науці. Використання синергетичних ідей у трактуванні історії, важливе значення випадковості та невизначеності. </w:t>
            </w:r>
          </w:p>
          <w:p w:rsidR="00D57AF6" w:rsidRPr="00DA312E" w:rsidRDefault="00D57AF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DA312E">
              <w:rPr>
                <w:i/>
                <w:sz w:val="18"/>
                <w:szCs w:val="18"/>
                <w:lang w:eastAsia="en-US"/>
              </w:rPr>
              <w:t>Методи.</w:t>
            </w:r>
            <w:r w:rsidRPr="00DA312E">
              <w:rPr>
                <w:sz w:val="18"/>
                <w:szCs w:val="18"/>
                <w:lang w:eastAsia="en-US"/>
              </w:rPr>
              <w:t xml:space="preserve"> Загальнонаукові і спеціальні методи,</w:t>
            </w:r>
            <w:r w:rsidRPr="00DA312E">
              <w:rPr>
                <w:bCs/>
                <w:color w:val="000000"/>
                <w:sz w:val="18"/>
                <w:szCs w:val="18"/>
                <w:lang w:eastAsia="en-US"/>
              </w:rPr>
              <w:t xml:space="preserve"> міждисциплінарні. </w:t>
            </w:r>
            <w:r w:rsidRPr="00DA312E">
              <w:rPr>
                <w:sz w:val="18"/>
                <w:szCs w:val="18"/>
                <w:lang w:eastAsia="en-US"/>
              </w:rPr>
              <w:t xml:space="preserve">Проблемно-хронологічний,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історико-типологічний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історико-порівняльний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історико-психологічний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A312E">
              <w:rPr>
                <w:sz w:val="18"/>
                <w:szCs w:val="18"/>
                <w:lang w:eastAsia="en-US"/>
              </w:rPr>
              <w:t>історико-біографічний</w:t>
            </w:r>
            <w:proofErr w:type="spellEnd"/>
            <w:r w:rsidRPr="00DA312E">
              <w:rPr>
                <w:sz w:val="18"/>
                <w:szCs w:val="18"/>
                <w:lang w:eastAsia="en-US"/>
              </w:rPr>
              <w:t>, порівняльно-</w:t>
            </w:r>
            <w:r w:rsidRPr="00DA312E">
              <w:rPr>
                <w:iCs/>
                <w:sz w:val="18"/>
                <w:szCs w:val="18"/>
                <w:lang w:eastAsia="en-US"/>
              </w:rPr>
              <w:t xml:space="preserve">статистичний </w:t>
            </w:r>
            <w:r w:rsidRPr="00DA312E">
              <w:rPr>
                <w:iCs/>
                <w:sz w:val="18"/>
                <w:szCs w:val="18"/>
              </w:rPr>
              <w:t>методи</w:t>
            </w:r>
            <w:r w:rsidRPr="00DA312E">
              <w:rPr>
                <w:sz w:val="18"/>
                <w:szCs w:val="18"/>
                <w:lang w:eastAsia="en-US"/>
              </w:rPr>
              <w:t>. Метод моделювання. Екстраполяційний метод.</w:t>
            </w:r>
            <w:r w:rsidRPr="00DA312E">
              <w:rPr>
                <w:bCs/>
                <w:color w:val="000000"/>
                <w:sz w:val="18"/>
                <w:szCs w:val="18"/>
                <w:lang w:eastAsia="en-US"/>
              </w:rPr>
              <w:t xml:space="preserve"> Історичний метод, як важливе знаряддя пізнання суспільних явищ та процесів. </w:t>
            </w:r>
            <w:r w:rsidRPr="00DA312E">
              <w:rPr>
                <w:iCs/>
                <w:sz w:val="18"/>
                <w:szCs w:val="18"/>
                <w:lang w:eastAsia="en-US"/>
              </w:rPr>
              <w:t>Нормативно-ціннісний,соціологічний,</w:t>
            </w:r>
            <w:r w:rsidRPr="00DA312E">
              <w:rPr>
                <w:bCs/>
                <w:iCs/>
                <w:sz w:val="18"/>
                <w:szCs w:val="18"/>
                <w:lang w:eastAsia="en-US"/>
              </w:rPr>
              <w:t>комунікативний методи</w:t>
            </w:r>
            <w:r w:rsidRPr="00DA312E">
              <w:rPr>
                <w:sz w:val="18"/>
                <w:szCs w:val="18"/>
                <w:lang w:eastAsia="en-US"/>
              </w:rPr>
              <w:t>.</w:t>
            </w:r>
            <w:r w:rsidR="006A5177">
              <w:rPr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color w:val="000000"/>
                <w:sz w:val="18"/>
                <w:szCs w:val="18"/>
              </w:rPr>
              <w:t xml:space="preserve">Крім того, аналіз і синтез, індукція і дедукція, визначення та класифікація, аналогія та ін., які традиційно </w:t>
            </w:r>
            <w:r w:rsidRPr="00DA312E">
              <w:rPr>
                <w:sz w:val="18"/>
                <w:szCs w:val="18"/>
              </w:rPr>
              <w:t xml:space="preserve">є </w:t>
            </w:r>
            <w:r w:rsidRPr="00DA312E">
              <w:rPr>
                <w:color w:val="000000"/>
                <w:sz w:val="18"/>
                <w:szCs w:val="18"/>
              </w:rPr>
              <w:t>універсальним інструментарієм будь-якого наукового дослідження учителя.</w:t>
            </w:r>
          </w:p>
          <w:p w:rsidR="00D57AF6" w:rsidRPr="00DA312E" w:rsidRDefault="00D57AF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DA312E">
              <w:rPr>
                <w:i/>
                <w:color w:val="000000"/>
                <w:sz w:val="18"/>
                <w:szCs w:val="18"/>
              </w:rPr>
              <w:t>Наукова робота учнів.</w:t>
            </w:r>
            <w:r w:rsidRPr="00DA312E">
              <w:rPr>
                <w:color w:val="000000"/>
                <w:sz w:val="18"/>
                <w:szCs w:val="18"/>
              </w:rPr>
              <w:t xml:space="preserve"> Форми та методи залучення учнів до наукової творчості. Навчально-дослідна робота. Наукова робота учнів, що виконується в позаурочний час. Урахування вікових та інших особливостей школярів. Поняття теми дослідження та методика її формулювання. Визначення предмета та об’єкта дослідження. Мета і завдання дослідження. </w:t>
            </w:r>
          </w:p>
          <w:p w:rsidR="00D57AF6" w:rsidRPr="00DA312E" w:rsidRDefault="00D57AF6" w:rsidP="001B05D8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 w:rsidRPr="00DA312E">
              <w:rPr>
                <w:i/>
                <w:color w:val="000000"/>
                <w:sz w:val="18"/>
                <w:szCs w:val="18"/>
              </w:rPr>
              <w:t>Академічна культура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4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137112" w:rsidRDefault="00D57A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i/>
                <w:sz w:val="18"/>
                <w:szCs w:val="18"/>
                <w:lang w:eastAsia="en-US"/>
              </w:rPr>
              <w:t>Проблеми шкільної історичної освіти в Україні</w:t>
            </w:r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(якість учителів історії, їх фаховий рівень, світогляд, межі відповідальності, навчальні програми, підручники тощо). Наукові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візії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між прихильниками мовно-етнографічного українства і прихильниками розширення поняття української ідентичності, гуманістичних пріоритетів сучасної історичної дидактики. Дві парадигми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дидактів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: предметно зорієнтована (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знаннєва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, традиційна);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особистісно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зорієнтована (гуманістична, інноваційна). Орієнтація навчальних програм на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компетентнісний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підхід. Історики-ревізіоністи. Шкільна освіта і академічна наука. </w:t>
            </w:r>
            <w:r w:rsidRPr="0013711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Аналіз функціонування історичної політики, колективної пам’яті, регіональні типи історичної пам’яті, </w:t>
            </w:r>
            <w:proofErr w:type="spellStart"/>
            <w:r w:rsidRPr="0013711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інструменталізація</w:t>
            </w:r>
            <w:proofErr w:type="spellEnd"/>
            <w:r w:rsidRPr="0013711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історії. Усна історія. Мала історія України. </w:t>
            </w:r>
            <w:proofErr w:type="spellStart"/>
            <w:r w:rsidRPr="0013711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Меморативна</w:t>
            </w:r>
            <w:proofErr w:type="spellEnd"/>
            <w:r w:rsidRPr="0013711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політика держави.</w:t>
            </w:r>
          </w:p>
          <w:p w:rsidR="00D57AF6" w:rsidRPr="00DA312E" w:rsidRDefault="00D57AF6" w:rsidP="001B05D8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 w:rsidRPr="0013711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Історія як важливий елемент громадянської освіти. Розумна і відповідальна соціалізація учнів. Формування інтелектуального </w:t>
            </w:r>
            <w:r w:rsidRPr="00137112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профілю учня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1371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en-US"/>
              </w:rPr>
              <w:t>Уроки критичного мислення.</w:t>
            </w:r>
            <w:r w:rsidR="006A5177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A312E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en-US"/>
              </w:rPr>
              <w:t>Соціоментальна</w:t>
            </w:r>
            <w:proofErr w:type="spellEnd"/>
            <w:r w:rsidRPr="00DA312E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en-US"/>
              </w:rPr>
              <w:t xml:space="preserve"> історія. </w:t>
            </w:r>
            <w:r w:rsidRPr="00DA312E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Формування української спільноти як специфічного типу групової </w:t>
            </w:r>
            <w:proofErr w:type="spellStart"/>
            <w:r w:rsidRPr="00DA312E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>самоідентифікації</w:t>
            </w:r>
            <w:proofErr w:type="spellEnd"/>
            <w:r w:rsidRPr="00DA312E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, відмінності, зокрема з російською культурою. Специфічна модель побудови 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організованого соціально-економічного життя, що базувалася насамперед на нормах звичаєвого права, історичних умовах землекористування та землеволодіння.</w:t>
            </w:r>
            <w:r w:rsidR="006A517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Функціонування </w:t>
            </w:r>
            <w:proofErr w:type="spellStart"/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парагромадянського</w:t>
            </w:r>
            <w:proofErr w:type="spellEnd"/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селянського суспільства. О</w:t>
            </w:r>
            <w:r w:rsidRPr="00DA312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 xml:space="preserve">собливості національного характеру: волелюбність, сміливість, рівність, демократичність, хазяйновитість. 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“Український (особистісний) індивідуалізм”, “сімейний індивідуалізм” або “індивідуалізм сімейної спілки”. Характерні соціально-демографічними особливості. Етнічний склад населення.</w:t>
            </w:r>
            <w:r w:rsidRPr="00DA312E">
              <w:rPr>
                <w:rFonts w:ascii="Times New Roman" w:hAnsi="Times New Roman" w:cs="Times New Roman"/>
                <w:bCs/>
                <w:sz w:val="18"/>
                <w:szCs w:val="18"/>
                <w:lang w:eastAsia="en-US"/>
              </w:rPr>
              <w:t xml:space="preserve"> С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амоврядування на початку ХХ ст.: сільські громади, традиційна громадська інституція взаємодопомоги – “толока”. Визвольні змагання, загальноселянські організації “селянські спілки”. </w:t>
            </w:r>
            <w:r w:rsidRPr="00DA312E">
              <w:rPr>
                <w:rFonts w:ascii="Times New Roman" w:hAnsi="Times New Roman" w:cs="Times New Roman"/>
                <w:spacing w:val="-2"/>
                <w:sz w:val="18"/>
                <w:szCs w:val="18"/>
                <w:lang w:eastAsia="en-US"/>
              </w:rPr>
              <w:t xml:space="preserve">Більшовицька парадигма пауперизації та загальної кризи в селянському соціумі. </w:t>
            </w:r>
            <w:r w:rsidRPr="00DA312E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Одержавлення селянського соціуму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. Нові умови проживання селян (колективізація побуту). Соціальний інжиніринг більшовиків, проголошення “нової людини” як заперечення традицій. Формування одержавленої особистості. </w:t>
            </w:r>
            <w:proofErr w:type="spellStart"/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Соцієтальні</w:t>
            </w:r>
            <w:proofErr w:type="spellEnd"/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зміни другої половини 1920-х рр. Морально-психологічні та демографічні наслідки Голодомору-геноциду. Латентні складові Голодомору 1932–1933 рр. Стан соціальної напруженості (</w:t>
            </w:r>
            <w:r w:rsidRPr="00DA312E">
              <w:rPr>
                <w:rFonts w:ascii="Times New Roman" w:hAnsi="Times New Roman" w:cs="Times New Roman"/>
                <w:sz w:val="18"/>
                <w:szCs w:val="18"/>
              </w:rPr>
              <w:t>“патологія повсякденності”).</w:t>
            </w:r>
            <w:r w:rsidR="006A51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Подвійна мораль та взяття під контроль громадської думки. Утилітаризм державної політики щодо дитинства. Ідейно-ціннісний конфлікт між піонерами й комсомольцями та їхніми 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батьками. Уніфікація свідомості. Становлення комуністичного режиму та відрив України від європейської моделі політичного й економічного розвитку, консервація процесу появи громадянського суспільства в Україні.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4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1B05D8">
            <w:pPr>
              <w:spacing w:after="0" w:line="240" w:lineRule="auto"/>
              <w:jc w:val="both"/>
              <w:rPr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Cs/>
                <w:i/>
                <w:sz w:val="18"/>
                <w:szCs w:val="18"/>
                <w:lang w:eastAsia="en-US"/>
              </w:rPr>
              <w:t>Дискусійні проблеми сучасної шкільної історичної дидактики. Історія жертв.</w:t>
            </w:r>
            <w:r w:rsidR="006A5177">
              <w:rPr>
                <w:rFonts w:ascii="Times New Roman" w:hAnsi="Times New Roman"/>
                <w:bCs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Бойтельсбаський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консенсус. Проблема конфліктів і масового знищення цілих груп населення. 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Ділема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між «героєм і жертвою». Голодомор. Голокост. Дискусії довкола погрому в Єдвабному. Етнічні чистки на Волині та у Галичині. </w:t>
            </w:r>
            <w:proofErr w:type="spellStart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Мартирологія</w:t>
            </w:r>
            <w:proofErr w:type="spellEnd"/>
            <w:r w:rsidRPr="00DA312E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 «Соціальний бандитизм». Селянські виступи під проводом Устима Кармалюка на Поділлі. Чи можуть бути жертвами «національного героя» «невинні люди»? Відмежування сучасності від минулого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D57AF6" w:rsidRPr="00DA312E" w:rsidTr="00137112">
        <w:trPr>
          <w:gridAfter w:val="1"/>
          <w:wAfter w:w="9" w:type="dxa"/>
          <w:trHeight w:val="2732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137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>Інтерактивний авторський семінар для розвитку критичного мислення: «Дискусійні питання історії України» (спонукає вчителя до розмірковування; удосконалює навички роботи з історичними джерелами і навички творчого вирішення практичних питань).</w:t>
            </w:r>
            <w:r w:rsidR="006A5177">
              <w:rPr>
                <w:rFonts w:ascii="Times New Roman" w:hAnsi="Times New Roman" w:cs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Місцеве самоврядування Русі-України. Козацькі традиції у випробуваннях імперськими націями.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Річ Посполита «Трьох народів»: Люблінська унія як етап формування політичного «народу руського»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. Київський патріархат (помісна церква) у проектах Петра Могили. Пошук державних моделей УНР і ЗУНР. Обставини проблем </w:t>
            </w:r>
            <w:proofErr w:type="spellStart"/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колаборації</w:t>
            </w:r>
            <w:proofErr w:type="spellEnd"/>
            <w:r w:rsidR="009F096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 w:cs="Times New Roman"/>
                <w:sz w:val="18"/>
                <w:szCs w:val="18"/>
              </w:rPr>
              <w:t>(1941–194</w:t>
            </w:r>
            <w:r w:rsidR="001371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A312E">
              <w:rPr>
                <w:rFonts w:ascii="Times New Roman" w:hAnsi="Times New Roman" w:cs="Times New Roman"/>
                <w:sz w:val="18"/>
                <w:szCs w:val="18"/>
              </w:rPr>
              <w:t xml:space="preserve"> рр.)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 Революції, суспільно-політичні рухи, сучасні економічні та політичні війни. «Повстання мас».</w:t>
            </w:r>
            <w:r w:rsidR="001B05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Формування сучасного громадянського суспільства та громадянської (політичної) нації. Важкий шлях до миру: українське суспільство та влада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3.2.9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pStyle w:val="a6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Практика.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</w:tr>
      <w:tr w:rsidR="00D57AF6" w:rsidRPr="00DA312E" w:rsidTr="00EC69C4">
        <w:trPr>
          <w:gridAfter w:val="1"/>
          <w:wAfter w:w="9" w:type="dxa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137112" w:rsidP="0013711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</w:t>
            </w:r>
            <w:r w:rsidR="00D57AF6"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ематична конференція</w:t>
            </w:r>
            <w:r w:rsidR="00D57AF6" w:rsidRPr="00DA312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 Науково-методологічні осмислення та рефлексії особистого педагогічного досвіду.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9F09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EC69C4" w:rsidRPr="00DA312E" w:rsidTr="00EC69C4">
        <w:trPr>
          <w:gridAfter w:val="1"/>
          <w:wAfter w:w="9" w:type="dxa"/>
          <w:trHeight w:val="144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C4" w:rsidRPr="00DA312E" w:rsidRDefault="00EC69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9C4" w:rsidRPr="00DA312E" w:rsidRDefault="00EC69C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Разом годин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9C4" w:rsidRPr="00DA312E" w:rsidRDefault="00EC69C4" w:rsidP="009F09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</w:t>
            </w:r>
          </w:p>
        </w:tc>
      </w:tr>
      <w:tr w:rsidR="00D57AF6" w:rsidRPr="006A5177" w:rsidTr="00D57AF6"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Навчання за програмою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підвищення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кваліфікації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завершується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тематичною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конференцією за участю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науково-педагогічних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працівників та керівників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курсів (не більше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трьох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осіб на одну групу). Тематична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конференція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передбачає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обговорення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проблемних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питань, результатів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навчання, виконання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індивідуальних</w:t>
            </w:r>
            <w:r w:rsidR="006A5177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завдань слухачами курсів за змістом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загальних та методичних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модулів, передбачених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навчальною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програмою, отримання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>зворотного</w:t>
            </w:r>
            <w:r w:rsidR="000B3170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b/>
                <w:i/>
                <w:sz w:val="18"/>
                <w:szCs w:val="18"/>
                <w:lang w:eastAsia="en-US"/>
              </w:rPr>
              <w:t xml:space="preserve">зв’язку. 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Обсяг</w:t>
            </w:r>
            <w:r w:rsidR="000B3170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137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креди</w:t>
            </w:r>
            <w:r w:rsidR="00137112">
              <w:rPr>
                <w:rFonts w:ascii="Times New Roman" w:hAnsi="Times New Roman"/>
                <w:sz w:val="18"/>
                <w:szCs w:val="18"/>
                <w:lang w:eastAsia="en-US"/>
              </w:rPr>
              <w:t>ти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ЄКТС (60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год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Форма підвищення</w:t>
            </w:r>
            <w:r w:rsidR="000B3170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кваліфікації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9F09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Очн</w:t>
            </w:r>
            <w:r w:rsidR="009F0960">
              <w:rPr>
                <w:rFonts w:ascii="Times New Roman" w:hAnsi="Times New Roman"/>
                <w:sz w:val="18"/>
                <w:szCs w:val="18"/>
                <w:lang w:eastAsia="en-US"/>
              </w:rPr>
              <w:t>о-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заочна, дистанційна відповідно до формату курсів і робочого навчального плану.</w:t>
            </w:r>
          </w:p>
        </w:tc>
      </w:tr>
      <w:tr w:rsidR="00D57AF6" w:rsidRPr="00B92104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Перелік </w:t>
            </w:r>
            <w:proofErr w:type="spellStart"/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, що набуваються/</w:t>
            </w:r>
          </w:p>
          <w:p w:rsidR="00D57AF6" w:rsidRPr="00DA312E" w:rsidRDefault="00D57AF6" w:rsidP="009A6041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удосконалюються (загальні, фахові)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pStyle w:val="LO-normal"/>
              <w:widowControl w:val="0"/>
              <w:tabs>
                <w:tab w:val="left" w:pos="218"/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1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Особистісно</w:t>
            </w:r>
            <w:proofErr w:type="spellEnd"/>
            <w:r w:rsidRPr="00DA31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професійні:</w:t>
            </w:r>
          </w:p>
          <w:p w:rsidR="00D57AF6" w:rsidRPr="00DA312E" w:rsidRDefault="00D57AF6" w:rsidP="00EC69C4">
            <w:pPr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–</w:t>
            </w:r>
            <w:r w:rsidR="00EC69C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здатність</w:t>
            </w:r>
            <w:r w:rsidR="00B9210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виявляти</w:t>
            </w:r>
            <w:r w:rsidR="00B9210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власне</w:t>
            </w:r>
            <w:r w:rsidR="00B9210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ціннісно-смислове ставлення до діяльності;</w:t>
            </w:r>
            <w:r w:rsidR="000B3170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до саморозвитку та самореалізації;</w:t>
            </w:r>
            <w:r w:rsid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до самокритики</w:t>
            </w:r>
            <w:r w:rsid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57AF6" w:rsidRPr="00DA312E" w:rsidRDefault="00D57AF6">
            <w:pPr>
              <w:pStyle w:val="LO-normal"/>
              <w:widowControl w:val="0"/>
              <w:tabs>
                <w:tab w:val="left" w:pos="218"/>
                <w:tab w:val="left" w:pos="709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31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Загальнопедагогічні</w:t>
            </w:r>
            <w:proofErr w:type="spellEnd"/>
            <w:r w:rsidRPr="00DA31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</w:p>
          <w:p w:rsidR="00D57AF6" w:rsidRPr="000B3170" w:rsidRDefault="00D57AF6" w:rsidP="00EC69C4">
            <w:pPr>
              <w:pStyle w:val="LO-normal"/>
              <w:widowControl w:val="0"/>
              <w:tabs>
                <w:tab w:val="left" w:pos="218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>– здатність розуміти нормативно-правові документи, науково-методичну літературу;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висловлювати та обґрунтовувати власну думку усно і письмово;  здатність мислити системно й критично;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проявляти ініціативу та логічно обґрунтовувати позицію; </w:t>
            </w:r>
            <w:r w:rsidR="000B3170" w:rsidRPr="000B31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творчо підходити до розв’язання проблем і задач;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конструктивно керувати емоціями;</w:t>
            </w:r>
            <w:r w:rsidR="000B3170" w:rsidRPr="000B31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оцінювати ризики та приймати відповідальні рішення;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співпрацювати з іншими суб’єктами освітнього процесу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.</w:t>
            </w:r>
          </w:p>
          <w:p w:rsidR="00D57AF6" w:rsidRPr="00DA312E" w:rsidRDefault="00D57AF6">
            <w:pPr>
              <w:pStyle w:val="LO-normal"/>
              <w:widowControl w:val="0"/>
              <w:tabs>
                <w:tab w:val="left" w:pos="218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312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Фахові:</w:t>
            </w:r>
          </w:p>
          <w:p w:rsidR="00D57AF6" w:rsidRPr="00DA312E" w:rsidRDefault="00D57AF6" w:rsidP="00EC69C4">
            <w:pPr>
              <w:pStyle w:val="LO-normal"/>
              <w:widowControl w:val="0"/>
              <w:tabs>
                <w:tab w:val="left" w:pos="218"/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>– здатність планувати і здійснювати освітню діяльність; здатність проводити педагогічні дослідження;</w:t>
            </w:r>
          </w:p>
          <w:p w:rsidR="00D57AF6" w:rsidRPr="000B3170" w:rsidRDefault="00D57AF6" w:rsidP="00EC69C4">
            <w:pPr>
              <w:pStyle w:val="LO-normal"/>
              <w:widowControl w:val="0"/>
              <w:tabs>
                <w:tab w:val="left" w:pos="218"/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надавати методичну допомогу колегам;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>здатність узагальнити власний педагогічний досвід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оцінити результати власної діяльності;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формувати в здобувачів освіти ключові та предметні компетентності;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створювати безпечне інклюзивне освітнє середовище;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здатність використовувати інформаційно-комунікативні та цифрові технології в освітньому процесі;</w:t>
            </w:r>
            <w:r w:rsidR="000B3170" w:rsidRPr="000B317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A312E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 здатність розвивати професійні компетентності</w:t>
            </w:r>
            <w:r w:rsidR="000B3170" w:rsidRPr="000B3170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 xml:space="preserve">; </w:t>
            </w:r>
            <w:r w:rsidR="000B3170">
              <w:rPr>
                <w:rFonts w:ascii="Times New Roman" w:eastAsia="Times New Roman" w:hAnsi="Times New Roman"/>
                <w:sz w:val="18"/>
                <w:szCs w:val="18"/>
                <w:lang w:eastAsia="en-US"/>
              </w:rPr>
              <w:t>н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абуття та розвиток учителем</w:t>
            </w:r>
            <w:r w:rsidR="000B3170" w:rsidRP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>автономізацій них</w:t>
            </w:r>
            <w:r w:rsidR="000B3170" w:rsidRP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компетентностей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, які повинні забезпечити йому можливість навчатися самому й навчати інших в умовах динамічн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>ого розвитку сучасного світу</w:t>
            </w:r>
            <w:r w:rsidR="000B3170" w:rsidRP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;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набуття навичок 4К: комунікація, </w:t>
            </w:r>
            <w:proofErr w:type="spellStart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колаборація</w:t>
            </w:r>
            <w:proofErr w:type="spellEnd"/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, креативність та критичне мислення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Строки виконання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Упродовж двох тижнів відповідно до плану-графіка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Місце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виконання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програми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EC69C4" w:rsidP="00EC6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Прикарпатський національний університет імені Василя Стефаника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Вартість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EC6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Освітні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послуги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надаються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EC69C4">
              <w:rPr>
                <w:rFonts w:ascii="Times New Roman" w:hAnsi="Times New Roman"/>
                <w:sz w:val="18"/>
                <w:szCs w:val="18"/>
                <w:lang w:eastAsia="en-US"/>
              </w:rPr>
              <w:t>за рахунок освітньої субвенції Кабінету Міністрів України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Графік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освітнього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процесу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1371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Затверджується </w:t>
            </w:r>
            <w:r w:rsidR="00EC69C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проректором з науково-педагогічної </w:t>
            </w:r>
            <w:r w:rsidR="00137112">
              <w:rPr>
                <w:rFonts w:ascii="Times New Roman" w:hAnsi="Times New Roman"/>
                <w:sz w:val="18"/>
                <w:szCs w:val="18"/>
                <w:lang w:eastAsia="en-US"/>
              </w:rPr>
              <w:t>роботи</w:t>
            </w:r>
            <w:bookmarkStart w:id="0" w:name="_GoBack"/>
            <w:bookmarkEnd w:id="0"/>
            <w:r w:rsidR="00EC69C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Прикарпатського національного університету </w:t>
            </w:r>
          </w:p>
        </w:tc>
      </w:tr>
      <w:tr w:rsidR="00D57AF6" w:rsidRPr="00DA312E" w:rsidTr="00D57AF6">
        <w:trPr>
          <w:gridAfter w:val="1"/>
          <w:wAfter w:w="9" w:type="dxa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Документ, що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видається за результатами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підвищення</w:t>
            </w:r>
            <w:r w:rsidR="000B31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t>кваліфікації</w:t>
            </w:r>
          </w:p>
        </w:tc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AF6" w:rsidRPr="00DA312E" w:rsidRDefault="00D57AF6" w:rsidP="00EC69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312E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Свідоцтво</w:t>
            </w:r>
          </w:p>
        </w:tc>
      </w:tr>
    </w:tbl>
    <w:p w:rsidR="00D57AF6" w:rsidRPr="00DA312E" w:rsidRDefault="00D57AF6" w:rsidP="00D57AF6">
      <w:pPr>
        <w:rPr>
          <w:sz w:val="18"/>
          <w:szCs w:val="18"/>
        </w:rPr>
      </w:pPr>
    </w:p>
    <w:p w:rsidR="00F05F1E" w:rsidRPr="00DA312E" w:rsidRDefault="00F05F1E">
      <w:pPr>
        <w:rPr>
          <w:sz w:val="18"/>
          <w:szCs w:val="18"/>
        </w:rPr>
      </w:pPr>
    </w:p>
    <w:sectPr w:rsidR="00F05F1E" w:rsidRPr="00DA312E" w:rsidSect="00C4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6CF"/>
    <w:multiLevelType w:val="hybridMultilevel"/>
    <w:tmpl w:val="CD64FE7C"/>
    <w:lvl w:ilvl="0" w:tplc="66041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E063E6"/>
    <w:multiLevelType w:val="hybridMultilevel"/>
    <w:tmpl w:val="C65C3EDC"/>
    <w:lvl w:ilvl="0" w:tplc="E3283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F6"/>
    <w:rsid w:val="00096700"/>
    <w:rsid w:val="000B3170"/>
    <w:rsid w:val="00137112"/>
    <w:rsid w:val="001A423E"/>
    <w:rsid w:val="001B05D8"/>
    <w:rsid w:val="00420B3E"/>
    <w:rsid w:val="00620744"/>
    <w:rsid w:val="00621940"/>
    <w:rsid w:val="006A5177"/>
    <w:rsid w:val="009A6041"/>
    <w:rsid w:val="009F0960"/>
    <w:rsid w:val="00B92104"/>
    <w:rsid w:val="00C41325"/>
    <w:rsid w:val="00CA6DEA"/>
    <w:rsid w:val="00D57AF6"/>
    <w:rsid w:val="00DA312E"/>
    <w:rsid w:val="00EC69C4"/>
    <w:rsid w:val="00F05F1E"/>
    <w:rsid w:val="00FB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D5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D57A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57AF6"/>
    <w:pPr>
      <w:ind w:left="720"/>
      <w:contextualSpacing/>
    </w:pPr>
  </w:style>
  <w:style w:type="paragraph" w:customStyle="1" w:styleId="LO-normal">
    <w:name w:val="LO-normal"/>
    <w:rsid w:val="00D57AF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D57AF6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D57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2">
    <w:name w:val="Заголовок 12"/>
    <w:basedOn w:val="a"/>
    <w:rsid w:val="006A5177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5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D57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D57A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57AF6"/>
    <w:pPr>
      <w:ind w:left="720"/>
      <w:contextualSpacing/>
    </w:pPr>
  </w:style>
  <w:style w:type="paragraph" w:customStyle="1" w:styleId="LO-normal">
    <w:name w:val="LO-normal"/>
    <w:rsid w:val="00D57AF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11">
    <w:name w:val="Заголовок 11"/>
    <w:basedOn w:val="a"/>
    <w:qFormat/>
    <w:rsid w:val="00D57AF6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  <w:style w:type="paragraph" w:customStyle="1" w:styleId="TableParagraph">
    <w:name w:val="Table Paragraph"/>
    <w:basedOn w:val="a"/>
    <w:uiPriority w:val="1"/>
    <w:qFormat/>
    <w:rsid w:val="00D57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12">
    <w:name w:val="Заголовок 12"/>
    <w:basedOn w:val="a"/>
    <w:rsid w:val="006A5177"/>
    <w:pPr>
      <w:widowControl w:val="0"/>
      <w:suppressAutoHyphens/>
      <w:autoSpaceDE w:val="0"/>
      <w:spacing w:after="0" w:line="240" w:lineRule="auto"/>
      <w:ind w:left="1302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zh-CN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1904F-7A9E-430A-A843-1BDDDFC5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7732</Words>
  <Characters>4408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Неттбукк</dc:creator>
  <cp:lastModifiedBy>Admin</cp:lastModifiedBy>
  <cp:revision>4</cp:revision>
  <dcterms:created xsi:type="dcterms:W3CDTF">2021-06-13T09:29:00Z</dcterms:created>
  <dcterms:modified xsi:type="dcterms:W3CDTF">2021-06-13T10:39:00Z</dcterms:modified>
</cp:coreProperties>
</file>