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036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710"/>
        <w:gridCol w:w="5953"/>
        <w:gridCol w:w="1601"/>
        <w:gridCol w:w="9"/>
      </w:tblGrid>
      <w:tr w:rsidR="00D57AF6" w:rsidRPr="00DA312E" w:rsidTr="00DA312E">
        <w:tc>
          <w:tcPr>
            <w:tcW w:w="103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F6" w:rsidRPr="00DA312E" w:rsidRDefault="00D57AF6" w:rsidP="00C92C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Опис</w:t>
            </w:r>
            <w:r w:rsidR="00DA312E"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 підвищення</w:t>
            </w:r>
            <w:r w:rsidR="00DA312E"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кваліфікації вчителів і</w:t>
            </w:r>
            <w:r w:rsidR="00C92C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нформатики</w:t>
            </w:r>
          </w:p>
        </w:tc>
      </w:tr>
      <w:tr w:rsidR="00D57AF6" w:rsidRPr="00B92104" w:rsidTr="00D57AF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Найменування програми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C92CAD" w:rsidP="00C92CAD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Методологічні основи викладання</w:t>
            </w:r>
            <w:r w:rsidR="00D57AF6" w:rsidRPr="00DA312E">
              <w:rPr>
                <w:b w:val="0"/>
                <w:sz w:val="18"/>
                <w:szCs w:val="18"/>
              </w:rPr>
              <w:t xml:space="preserve"> і</w:t>
            </w:r>
            <w:r>
              <w:rPr>
                <w:b w:val="0"/>
                <w:sz w:val="18"/>
                <w:szCs w:val="18"/>
              </w:rPr>
              <w:t>нформатики</w:t>
            </w:r>
          </w:p>
        </w:tc>
      </w:tr>
      <w:tr w:rsidR="00D57AF6" w:rsidRPr="00DA312E" w:rsidTr="00D57AF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Мета програми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C92C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Удосконалення ключових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межах професійної діяльності з урахуванням вимог професійного стандарту та стандарту освіти </w:t>
            </w:r>
            <w:r w:rsidR="009F0960">
              <w:rPr>
                <w:rFonts w:ascii="Times New Roman" w:hAnsi="Times New Roman"/>
                <w:sz w:val="18"/>
                <w:szCs w:val="18"/>
                <w:lang w:eastAsia="en-US"/>
              </w:rPr>
              <w:t>зі спеціальності 014.0</w:t>
            </w:r>
            <w:r w:rsidR="00C92CAD"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  <w:r w:rsidR="009F09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Середня освіта (І</w:t>
            </w:r>
            <w:r w:rsidR="00C92CAD">
              <w:rPr>
                <w:rFonts w:ascii="Times New Roman" w:hAnsi="Times New Roman"/>
                <w:sz w:val="18"/>
                <w:szCs w:val="18"/>
                <w:lang w:eastAsia="en-US"/>
              </w:rPr>
              <w:t>нформатика</w:t>
            </w:r>
            <w:r w:rsidR="009F0960"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</w:tr>
      <w:tr w:rsidR="00D57AF6" w:rsidRPr="00B92104" w:rsidTr="00D57AF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Напрям програми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9F096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Підвищення кваліфікації фахівців</w:t>
            </w:r>
            <w:r w:rsidR="009F09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зі спеціальності </w:t>
            </w:r>
            <w:r w:rsidR="00C92CAD">
              <w:rPr>
                <w:rFonts w:ascii="Times New Roman" w:hAnsi="Times New Roman"/>
                <w:sz w:val="18"/>
                <w:szCs w:val="18"/>
                <w:lang w:eastAsia="en-US"/>
              </w:rPr>
              <w:t>014.09 Середня освіта (Інформатика)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Зміст</w:t>
            </w:r>
            <w:r w:rsidR="00B9210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Навчальні</w:t>
            </w:r>
            <w:r w:rsidR="00B9210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модулі для конструювання</w:t>
            </w:r>
            <w:r w:rsidR="00B9210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освітньої</w:t>
            </w:r>
            <w:r w:rsidR="00B9210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№ з/п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Назва модуля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EC69C4" w:rsidRDefault="00D57AF6" w:rsidP="007149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EC69C4">
              <w:rPr>
                <w:rFonts w:ascii="Times New Roman" w:hAnsi="Times New Roman"/>
                <w:sz w:val="18"/>
                <w:szCs w:val="18"/>
                <w:lang w:eastAsia="en-US"/>
              </w:rPr>
              <w:t>К</w:t>
            </w:r>
            <w:r w:rsidR="00EC69C4" w:rsidRPr="00EC69C4">
              <w:rPr>
                <w:rFonts w:ascii="Times New Roman" w:hAnsi="Times New Roman"/>
                <w:sz w:val="18"/>
                <w:szCs w:val="18"/>
                <w:lang w:eastAsia="en-US"/>
              </w:rPr>
              <w:t>ількість годин</w:t>
            </w:r>
            <w:r w:rsidR="00EC69C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7149AA">
              <w:rPr>
                <w:rFonts w:ascii="Times New Roman" w:hAnsi="Times New Roman"/>
                <w:sz w:val="18"/>
                <w:szCs w:val="18"/>
                <w:lang w:eastAsia="en-US"/>
              </w:rPr>
              <w:br/>
            </w:r>
            <w:r w:rsidRPr="00EC69C4">
              <w:rPr>
                <w:rFonts w:ascii="Times New Roman" w:hAnsi="Times New Roman"/>
                <w:sz w:val="18"/>
                <w:szCs w:val="18"/>
                <w:lang w:eastAsia="en-US"/>
              </w:rPr>
              <w:t>у модулі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pStyle w:val="TableParagraph"/>
              <w:tabs>
                <w:tab w:val="left" w:pos="326"/>
              </w:tabs>
              <w:spacing w:line="276" w:lineRule="auto"/>
              <w:ind w:left="35"/>
              <w:jc w:val="both"/>
              <w:rPr>
                <w:b/>
                <w:sz w:val="18"/>
                <w:szCs w:val="18"/>
                <w:lang w:val="uk-UA"/>
              </w:rPr>
            </w:pPr>
            <w:r w:rsidRPr="00DA312E">
              <w:rPr>
                <w:b/>
                <w:sz w:val="18"/>
                <w:szCs w:val="18"/>
                <w:lang w:val="uk-UA"/>
              </w:rPr>
              <w:t xml:space="preserve">Модуль 1. Світоглядні основи професійного розвитку педагога. </w:t>
            </w:r>
          </w:p>
          <w:p w:rsidR="00D57AF6" w:rsidRPr="00DA312E" w:rsidRDefault="00D57AF6">
            <w:pPr>
              <w:pStyle w:val="TableParagraph"/>
              <w:tabs>
                <w:tab w:val="left" w:pos="326"/>
              </w:tabs>
              <w:spacing w:line="276" w:lineRule="auto"/>
              <w:ind w:left="35"/>
              <w:jc w:val="both"/>
              <w:rPr>
                <w:sz w:val="18"/>
                <w:szCs w:val="18"/>
                <w:lang w:val="uk-UA"/>
              </w:rPr>
            </w:pPr>
            <w:r w:rsidRPr="00DA312E">
              <w:rPr>
                <w:b/>
                <w:sz w:val="18"/>
                <w:szCs w:val="18"/>
                <w:lang w:val="uk-UA"/>
              </w:rPr>
              <w:t>Змістовні лінії:</w:t>
            </w:r>
          </w:p>
          <w:p w:rsidR="00D57AF6" w:rsidRPr="00DA312E" w:rsidRDefault="00D57AF6" w:rsidP="009F347D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sz w:val="18"/>
                <w:szCs w:val="18"/>
                <w:lang w:val="uk-UA"/>
              </w:rPr>
            </w:pPr>
            <w:r w:rsidRPr="00DA312E">
              <w:rPr>
                <w:sz w:val="18"/>
                <w:szCs w:val="18"/>
                <w:lang w:val="uk-UA"/>
              </w:rPr>
              <w:t xml:space="preserve">Державна стратегія розвитку освіти. «Законодавче забезпечення системи освіти та професійного розвитку педагога в Україні. </w:t>
            </w:r>
          </w:p>
          <w:p w:rsidR="00D57AF6" w:rsidRPr="00DA312E" w:rsidRDefault="00D57AF6" w:rsidP="009F347D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sz w:val="18"/>
                <w:szCs w:val="18"/>
                <w:lang w:val="uk-UA"/>
              </w:rPr>
            </w:pPr>
            <w:r w:rsidRPr="00DA312E">
              <w:rPr>
                <w:sz w:val="18"/>
                <w:szCs w:val="18"/>
                <w:lang w:val="uk-UA"/>
              </w:rPr>
              <w:t>Здорове і безпечне середовище закладу освіти – складова професійного благополуччя і розвитку.</w:t>
            </w:r>
          </w:p>
          <w:p w:rsidR="00D57AF6" w:rsidRPr="00DA312E" w:rsidRDefault="00D57AF6" w:rsidP="009F347D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b/>
                <w:sz w:val="18"/>
                <w:szCs w:val="18"/>
                <w:lang w:val="ru-RU"/>
              </w:rPr>
            </w:pPr>
            <w:r w:rsidRPr="00DA312E">
              <w:rPr>
                <w:sz w:val="18"/>
                <w:szCs w:val="18"/>
                <w:lang w:val="uk-UA"/>
              </w:rPr>
              <w:t xml:space="preserve">Ціннісні та </w:t>
            </w:r>
            <w:proofErr w:type="spellStart"/>
            <w:r w:rsidRPr="00DA312E">
              <w:rPr>
                <w:sz w:val="18"/>
                <w:szCs w:val="18"/>
                <w:lang w:val="uk-UA"/>
              </w:rPr>
              <w:t>діяльнісні</w:t>
            </w:r>
            <w:proofErr w:type="spellEnd"/>
            <w:r w:rsidRPr="00DA312E">
              <w:rPr>
                <w:sz w:val="18"/>
                <w:szCs w:val="18"/>
                <w:lang w:val="uk-UA"/>
              </w:rPr>
              <w:t xml:space="preserve"> засади професійного розвитку педагога.</w:t>
            </w:r>
          </w:p>
          <w:p w:rsidR="00D57AF6" w:rsidRPr="00DA312E" w:rsidRDefault="00D57AF6" w:rsidP="009F347D">
            <w:pPr>
              <w:pStyle w:val="a6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Мовленнєва</w:t>
            </w:r>
            <w:r w:rsidR="006A51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компетентність педагога.</w:t>
            </w:r>
          </w:p>
          <w:p w:rsidR="00D57AF6" w:rsidRPr="00DA312E" w:rsidRDefault="00D57AF6" w:rsidP="009F347D">
            <w:pPr>
              <w:pStyle w:val="a6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Інфомедійна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грамотність як ключова компетенція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діджиталізованого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суспільства та головна умова якісної освіти.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pStyle w:val="TableParagraph"/>
              <w:spacing w:line="276" w:lineRule="auto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 w:rsidRPr="00DA312E">
              <w:rPr>
                <w:b/>
                <w:sz w:val="18"/>
                <w:szCs w:val="18"/>
                <w:lang w:val="uk-UA"/>
              </w:rPr>
              <w:t>10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Модуль 2. Психологія, педагогіка та інклюзивна освіта</w:t>
            </w:r>
          </w:p>
          <w:p w:rsidR="00D57AF6" w:rsidRPr="00DA312E" w:rsidRDefault="00D57A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Змістовні лінії:</w:t>
            </w:r>
          </w:p>
          <w:p w:rsidR="00D57AF6" w:rsidRPr="00DA312E" w:rsidRDefault="00D57AF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1. Основи інклюзивного навчання; діти з особливими потребами: особливості навчання та розвитку, психолого-педагогічні умови їх підтримки в освітньому процесі; універсальний дизайн в освіті.</w:t>
            </w:r>
          </w:p>
          <w:p w:rsidR="00D57AF6" w:rsidRPr="00DA312E" w:rsidRDefault="00D57AF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Створення соціально безпечного освітнього середовища: профілактика та подолання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булінгу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 шкільного насилля у закладах освіти; сучасні проблеми адаптації та соціалізації особистості; формування соціальних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особистості в процесі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нейроменеджменту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  <w:p w:rsidR="00D57AF6" w:rsidRPr="00DA312E" w:rsidRDefault="00D57AF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 Педагогіка партнерства: взаємодія з батьками; педагогіка партнерства та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компетентнісний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підхід у роботі вчителя; педагогічний супровід талановитих дітей; розвиток емоційної компетентності педагога.</w:t>
            </w:r>
          </w:p>
          <w:p w:rsidR="00D57AF6" w:rsidRPr="00DA312E" w:rsidRDefault="00D57AF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4. Розвиток психологічної компетентності педагога: психологічні особливості розвитку дитини на різних вікових етапах; стратегії і тактики попередження професійного стресу; психологія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тімбілдінгу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командотворення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); психодіагностика особистості учня, психологія класного менеджменту.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Модуль 3. Організаційно-методичні засади розвитку професійної  компетентності вчителя</w:t>
            </w:r>
            <w:r w:rsidRPr="00DA312E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D57AF6" w:rsidRPr="00DA312E" w:rsidRDefault="00D57AF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Змістовні лінії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 w:rsidP="009F0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36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7149AA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Інформаційні, цифрові технології в освітньому процесі, Е-навчання,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кібербезпека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 w:rsidP="009F0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9F347D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Професійні компетентності (знання предмета, фахових методик, технологій).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9F0960" w:rsidRDefault="00D57AF6" w:rsidP="009F0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9F0960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</w:t>
            </w:r>
            <w:r w:rsidR="009F0960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E30ED8">
            <w:pPr>
              <w:pStyle w:val="a6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Державна освітня політика в галузі </w:t>
            </w:r>
            <w:r w:rsidR="00E30ED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01 Освіта/Педагогіка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: практична реалізація Державного стандарту базової середньої освіти, Законів України «Про освіту» та </w:t>
            </w:r>
            <w:r w:rsidRPr="00DA312E">
              <w:rPr>
                <w:sz w:val="18"/>
                <w:szCs w:val="18"/>
                <w:lang w:eastAsia="en-US"/>
              </w:rPr>
              <w:t>«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Про повну загальну середню освіту”, нормативно-правове забезпечення викладання предметів освітньої галузі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7149AA">
            <w:pPr>
              <w:pStyle w:val="a6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Сучасний урок </w:t>
            </w:r>
            <w:r w:rsidR="00E30ED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інформатики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: практична реалізація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компетентнісного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діяльнісного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та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особистісноорієнтованого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підходів; методика – форми, методи та методичні прийоми, типи уроків та їх структура; технології, що розвивають і формують </w:t>
            </w:r>
            <w:r w:rsidR="00E30ED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компетентності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4К)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E30ED8">
            <w:pPr>
              <w:pStyle w:val="a6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Сучасний учитель як провідник змін у контексті Концепції Нової української школи: професійні компетентності, ролі та завдання, безперервна освіта (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евтагогіка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) для самореалізації та конкурентоспроможності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5B" w:rsidRPr="0076415B" w:rsidRDefault="00D57AF6" w:rsidP="00764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312E">
              <w:rPr>
                <w:i/>
                <w:sz w:val="18"/>
                <w:szCs w:val="18"/>
                <w:lang w:eastAsia="en-US"/>
              </w:rPr>
              <w:t>Методологія.</w:t>
            </w:r>
            <w:r w:rsidR="006A5177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7641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 xml:space="preserve">Принцип </w:t>
            </w:r>
            <w:r w:rsidR="00E30ED8" w:rsidRPr="007641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 xml:space="preserve">формування інформаційного суспільства </w:t>
            </w:r>
            <w:r w:rsidRPr="007641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як один із загальних методологічних принципів наукового</w:t>
            </w:r>
            <w:r w:rsidR="00E30ED8" w:rsidRPr="007641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7641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пізнання суспільних явищ.</w:t>
            </w:r>
            <w:r w:rsidR="006A5177" w:rsidRPr="007641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76415B" w:rsidRPr="0076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Інформаційно-цифрова компетентність педагога. Європейська основа цифрової компетентності педагогів (</w:t>
            </w:r>
            <w:proofErr w:type="spellStart"/>
            <w:r w:rsidR="0076415B" w:rsidRPr="0076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DigCompEdu</w:t>
            </w:r>
            <w:proofErr w:type="spellEnd"/>
            <w:r w:rsidR="0076415B" w:rsidRPr="0076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). </w:t>
            </w:r>
          </w:p>
          <w:p w:rsidR="00D57AF6" w:rsidRPr="00DA312E" w:rsidRDefault="0076415B" w:rsidP="0076415B">
            <w:pPr>
              <w:pStyle w:val="a4"/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76415B">
              <w:rPr>
                <w:color w:val="000000"/>
                <w:sz w:val="18"/>
                <w:szCs w:val="18"/>
              </w:rPr>
              <w:t>Застосування інформаційно-комунікаційних технологій для формування інформаційно-цифрової компетентності учасників освітнього процесу. Хмаро орієнтоване освітнє середовище, віртуалізація, мобільність. Методика використання хмарних технології в освіті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5676C6" w:rsidRDefault="005676C6" w:rsidP="007149AA">
            <w:pPr>
              <w:spacing w:after="0" w:line="240" w:lineRule="auto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567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Сучасне навчально-методичне забезпечення освітнього процесу. </w:t>
            </w:r>
            <w:r w:rsid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Проблемні </w:t>
            </w:r>
            <w:r w:rsidRPr="00567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питання  навчання інформатики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7149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5676C6" w:rsidRDefault="00567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  <w:lang w:eastAsia="en-US"/>
              </w:rPr>
            </w:pPr>
            <w:r w:rsidRPr="00567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Знайомство з </w:t>
            </w:r>
            <w:proofErr w:type="spellStart"/>
            <w:r w:rsidRPr="00567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67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Базові структури алгоритмів. Функції. Модулі. Рядки. Кортежі. Словники. Файли. </w:t>
            </w:r>
            <w:proofErr w:type="spellStart"/>
            <w:r w:rsidRPr="00567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Tkinter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5676C6" w:rsidRPr="00DA312E" w:rsidTr="005676C6">
        <w:trPr>
          <w:gridAfter w:val="1"/>
          <w:wAfter w:w="9" w:type="dxa"/>
          <w:trHeight w:val="562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C6" w:rsidRPr="00DA312E" w:rsidRDefault="005676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6C6" w:rsidRPr="00DA312E" w:rsidRDefault="005676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6C6" w:rsidRPr="005676C6" w:rsidRDefault="005676C6">
            <w:pPr>
              <w:spacing w:after="0" w:line="240" w:lineRule="auto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567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Методичні рекомендації щодо підготовки та проведення олімпіади з інформаційних технологій. Комплексні завдання. Виконання завдань у середовищі VS Office, MS Office 365, </w:t>
            </w:r>
            <w:proofErr w:type="spellStart"/>
            <w:r w:rsidRPr="00567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LibreOffice</w:t>
            </w:r>
            <w:proofErr w:type="spellEnd"/>
            <w:r w:rsidRPr="005676C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6C6" w:rsidRPr="00DA312E" w:rsidRDefault="005676C6" w:rsidP="005676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7149AA">
            <w:pPr>
              <w:pStyle w:val="a6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Практика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Тематична конференція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 Науково-методологічні осмислення та рефлексії особистого педагогічного досвіду.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EC69C4" w:rsidRPr="00DA312E" w:rsidTr="00EC69C4">
        <w:trPr>
          <w:gridAfter w:val="1"/>
          <w:wAfter w:w="9" w:type="dxa"/>
          <w:trHeight w:val="144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C4" w:rsidRPr="00DA312E" w:rsidRDefault="00EC69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9C4" w:rsidRPr="00DA312E" w:rsidRDefault="00EC6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Разом годин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9C4" w:rsidRPr="00DA312E" w:rsidRDefault="00EC69C4" w:rsidP="009F0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</w:t>
            </w:r>
          </w:p>
        </w:tc>
      </w:tr>
      <w:tr w:rsidR="00D57AF6" w:rsidRPr="006A5177" w:rsidTr="00D57AF6"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Навчання за програмою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підвищення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кваліфікації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завершується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тематичною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конференцією за участю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науково-педагогічних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працівників та керівників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курсів (не більше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трьох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осіб на одну групу). Тематична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конференція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передбачає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обговорення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проблемних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питань, результатів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навчання, виконання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індивідуальних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завдань слухачами курсів за змістом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загальних та методичних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модулів, передбачених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навчальною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програмою, отримання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зворотного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зв’язку. 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Обсяг</w:t>
            </w:r>
            <w:r w:rsidR="000B3170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7149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F09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кредит</w:t>
            </w:r>
            <w:r w:rsidR="007149AA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ЄКТС (60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год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Форма підвищення</w:t>
            </w:r>
            <w:r w:rsidR="000B3170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кваліфікації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9F0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Очн</w:t>
            </w:r>
            <w:r w:rsidR="009F0960">
              <w:rPr>
                <w:rFonts w:ascii="Times New Roman" w:hAnsi="Times New Roman"/>
                <w:sz w:val="18"/>
                <w:szCs w:val="18"/>
                <w:lang w:eastAsia="en-US"/>
              </w:rPr>
              <w:t>о-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заочна, дистанційна відповідно до формату курсів і робочого навчального плану.</w:t>
            </w:r>
          </w:p>
        </w:tc>
      </w:tr>
      <w:tr w:rsidR="00D57AF6" w:rsidRPr="00B92104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Перелік </w:t>
            </w:r>
            <w:proofErr w:type="spellStart"/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, що набуваються/</w:t>
            </w:r>
          </w:p>
          <w:p w:rsidR="00D57AF6" w:rsidRPr="00DA312E" w:rsidRDefault="00D57AF6" w:rsidP="009A604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удосконалюються (загальні, фахові)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5B" w:rsidRPr="0076415B" w:rsidRDefault="0076415B" w:rsidP="0076415B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Професійно-педагогічна компетентність:</w:t>
            </w:r>
          </w:p>
          <w:p w:rsidR="007149AA" w:rsidRDefault="0076415B" w:rsidP="007149AA">
            <w:pPr>
              <w:pStyle w:val="a6"/>
              <w:numPr>
                <w:ilvl w:val="0"/>
                <w:numId w:val="12"/>
              </w:numPr>
              <w:tabs>
                <w:tab w:val="left" w:pos="176"/>
              </w:tabs>
              <w:spacing w:after="0" w:line="240" w:lineRule="auto"/>
              <w:ind w:left="35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обізнаність із новітніми науково обґрунтованими відомостями з педагогіки, психології, методик, </w:t>
            </w:r>
            <w:proofErr w:type="spellStart"/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інноватики</w:t>
            </w:r>
            <w:proofErr w:type="spellEnd"/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створення цифрового </w:t>
            </w:r>
            <w:proofErr w:type="spellStart"/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освітньо-розвивального</w:t>
            </w:r>
            <w:proofErr w:type="spellEnd"/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середовища;</w:t>
            </w:r>
          </w:p>
          <w:p w:rsidR="007149AA" w:rsidRDefault="0076415B" w:rsidP="007149AA">
            <w:pPr>
              <w:pStyle w:val="a6"/>
              <w:numPr>
                <w:ilvl w:val="0"/>
                <w:numId w:val="12"/>
              </w:numPr>
              <w:tabs>
                <w:tab w:val="left" w:pos="176"/>
              </w:tabs>
              <w:spacing w:after="0" w:line="240" w:lineRule="auto"/>
              <w:ind w:left="35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знання поняття алгоритму, сутності алгоритмізації, методів структурного програмування; </w:t>
            </w:r>
          </w:p>
          <w:p w:rsidR="007149AA" w:rsidRDefault="0076415B" w:rsidP="007149AA">
            <w:pPr>
              <w:pStyle w:val="a6"/>
              <w:numPr>
                <w:ilvl w:val="0"/>
                <w:numId w:val="12"/>
              </w:numPr>
              <w:tabs>
                <w:tab w:val="left" w:pos="176"/>
              </w:tabs>
              <w:spacing w:after="0" w:line="240" w:lineRule="auto"/>
              <w:ind w:left="35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використання цифрових технологій для спілкування, співпраці та професійного розвитку;</w:t>
            </w:r>
            <w:r w:rsidR="007149AA"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76415B" w:rsidRPr="007149AA" w:rsidRDefault="0076415B" w:rsidP="007149AA">
            <w:pPr>
              <w:pStyle w:val="a6"/>
              <w:numPr>
                <w:ilvl w:val="0"/>
                <w:numId w:val="12"/>
              </w:numPr>
              <w:tabs>
                <w:tab w:val="left" w:pos="176"/>
              </w:tabs>
              <w:spacing w:after="0" w:line="240" w:lineRule="auto"/>
              <w:ind w:left="35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керування та організація використання цифрових технологій у викладанні та навчанні.</w:t>
            </w:r>
          </w:p>
          <w:p w:rsidR="0076415B" w:rsidRPr="0076415B" w:rsidRDefault="0076415B" w:rsidP="0076415B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Мовно-комунікативна компетентність:</w:t>
            </w:r>
          </w:p>
          <w:p w:rsidR="0076415B" w:rsidRPr="007149AA" w:rsidRDefault="0076415B" w:rsidP="007149A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розвиненість культури професійного спілкування;</w:t>
            </w:r>
          </w:p>
          <w:p w:rsidR="0076415B" w:rsidRPr="007149AA" w:rsidRDefault="0076415B" w:rsidP="007149A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здатність досягати педагогічних результатів засобами цифрової продуктивної комунікативної взаємодії.</w:t>
            </w:r>
          </w:p>
          <w:p w:rsidR="0076415B" w:rsidRPr="0076415B" w:rsidRDefault="0076415B" w:rsidP="0076415B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Інформаційно-цифрова компетентність:</w:t>
            </w:r>
          </w:p>
          <w:p w:rsidR="0076415B" w:rsidRPr="007149AA" w:rsidRDefault="0076415B" w:rsidP="007149A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здатність орієнтуватися в інформаційному просторі, отримувати інформацію та оперувати нею відповідно до власних потреб і вимог сучасного високотехнологічного інформаційного суспільства;</w:t>
            </w:r>
          </w:p>
          <w:p w:rsidR="007149AA" w:rsidRPr="007149AA" w:rsidRDefault="0076415B" w:rsidP="007149A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опанування різноманітних способів подання інформації, її візуалізації з використанням інформаційно-комунікаційних технологій</w:t>
            </w:r>
          </w:p>
          <w:p w:rsidR="0076415B" w:rsidRPr="0076415B" w:rsidRDefault="0076415B" w:rsidP="007149AA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Соціально-громадянська компетентність: </w:t>
            </w:r>
          </w:p>
          <w:p w:rsidR="0076415B" w:rsidRPr="007149AA" w:rsidRDefault="0076415B" w:rsidP="007149A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вміння визначати проблемні питання у професійній сфері та віднаходити шляхи їх розв’язання, </w:t>
            </w:r>
          </w:p>
          <w:p w:rsidR="0076415B" w:rsidRPr="007149AA" w:rsidRDefault="0076415B" w:rsidP="007149A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здатність до ефективної командної роботи, вміння попереджувати та розв’язувати конфлікти, досягаючи компромісів.</w:t>
            </w:r>
          </w:p>
          <w:p w:rsidR="0076415B" w:rsidRPr="0076415B" w:rsidRDefault="0076415B" w:rsidP="0076415B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Методична компетентність:</w:t>
            </w:r>
          </w:p>
          <w:p w:rsidR="0076415B" w:rsidRPr="007149AA" w:rsidRDefault="0076415B" w:rsidP="008544D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оволодіння знаннями методологічних і теоретичних основ освітніх методик, концептуальних основ структури і змісту засобів навчання;</w:t>
            </w:r>
          </w:p>
          <w:p w:rsidR="0076415B" w:rsidRPr="007149AA" w:rsidRDefault="0076415B" w:rsidP="008544D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уміння застосувати знання в педагогічній діяльності, виконувати основні професійно-методичні функції;</w:t>
            </w:r>
          </w:p>
          <w:p w:rsidR="0076415B" w:rsidRPr="007149AA" w:rsidRDefault="0076415B" w:rsidP="008544D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4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оволодіння педагогом новими методичними і педагогічними ідеями, підходами до освітнього процесу;</w:t>
            </w:r>
          </w:p>
          <w:p w:rsidR="0076415B" w:rsidRPr="008544DB" w:rsidRDefault="0076415B" w:rsidP="008544D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44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володіння різними методами, прийомами і формами організації навчання.</w:t>
            </w:r>
          </w:p>
          <w:p w:rsidR="0076415B" w:rsidRPr="0076415B" w:rsidRDefault="0076415B" w:rsidP="008544D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Психологічно-фасилітативна</w:t>
            </w:r>
            <w:proofErr w:type="spellEnd"/>
            <w:r w:rsidRPr="007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компетентність:</w:t>
            </w:r>
          </w:p>
          <w:p w:rsidR="0076415B" w:rsidRPr="008544DB" w:rsidRDefault="0076415B" w:rsidP="008544D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44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усвідомлення ціннісної значущості фізичного, психічного і морального здоров’я;</w:t>
            </w:r>
          </w:p>
          <w:p w:rsidR="0076415B" w:rsidRPr="008544DB" w:rsidRDefault="0076415B" w:rsidP="008544D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44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здатність сприяти творчому становленню здобувачів освіти та їхній індивідуалізації.</w:t>
            </w:r>
          </w:p>
          <w:p w:rsidR="0076415B" w:rsidRPr="0076415B" w:rsidRDefault="0076415B" w:rsidP="0076415B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Підприємницька компетентність:</w:t>
            </w:r>
          </w:p>
          <w:p w:rsidR="0076415B" w:rsidRPr="008544DB" w:rsidRDefault="0076415B" w:rsidP="008544D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76" w:hanging="1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44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вміння генерувати нові ідеї й ініціативи та втілювати їх у життя з метою підвищення як власного соціального статусу та добробуту, так і розвитку суспільства і держави.</w:t>
            </w:r>
          </w:p>
          <w:p w:rsidR="0076415B" w:rsidRPr="0076415B" w:rsidRDefault="0076415B" w:rsidP="0076415B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1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Проектно-технологічна компетентність:</w:t>
            </w:r>
          </w:p>
          <w:p w:rsidR="00D57AF6" w:rsidRPr="000B3170" w:rsidRDefault="0076415B" w:rsidP="008544DB">
            <w:pPr>
              <w:pStyle w:val="LO-normal"/>
              <w:widowControl w:val="0"/>
              <w:numPr>
                <w:ilvl w:val="0"/>
                <w:numId w:val="12"/>
              </w:numPr>
              <w:tabs>
                <w:tab w:val="left" w:pos="218"/>
              </w:tabs>
              <w:spacing w:line="276" w:lineRule="auto"/>
              <w:ind w:left="176" w:hanging="253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641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здатність застосовувати отримані знання, уміння та особистий досвід у предметно-перетворювальній практичній діяльності для вдосконалення освітньої системи.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Строки виконання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Упродовж двох тижнів відповідно до плану-графіка</w:t>
            </w:r>
            <w:bookmarkStart w:id="0" w:name="_GoBack"/>
            <w:bookmarkEnd w:id="0"/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Місце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виконання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EC69C4" w:rsidP="00EC6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Прикарпатський національний університет імені Василя Стефаника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Вартість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EC6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Освітні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послуги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надаються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EC69C4">
              <w:rPr>
                <w:rFonts w:ascii="Times New Roman" w:hAnsi="Times New Roman"/>
                <w:sz w:val="18"/>
                <w:szCs w:val="18"/>
                <w:lang w:eastAsia="en-US"/>
              </w:rPr>
              <w:t>за рахунок освітньої субвенції Кабінету Міністрів України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Графік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освітнього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процесу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7641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Затверджується </w:t>
            </w:r>
            <w:r w:rsidR="00EC69C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проректором з науково-педагогічної </w:t>
            </w:r>
            <w:r w:rsidR="0076415B">
              <w:rPr>
                <w:rFonts w:ascii="Times New Roman" w:hAnsi="Times New Roman"/>
                <w:sz w:val="18"/>
                <w:szCs w:val="18"/>
                <w:lang w:eastAsia="en-US"/>
              </w:rPr>
              <w:t>роботи</w:t>
            </w:r>
            <w:r w:rsidR="00EC69C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Прикарпатського національного університету 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Документ, що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видається за результатами підвищення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кваліфікації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EC6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Свідоцтво</w:t>
            </w:r>
          </w:p>
        </w:tc>
      </w:tr>
    </w:tbl>
    <w:p w:rsidR="00D57AF6" w:rsidRPr="00DA312E" w:rsidRDefault="00D57AF6" w:rsidP="00D57AF6">
      <w:pPr>
        <w:rPr>
          <w:sz w:val="18"/>
          <w:szCs w:val="18"/>
        </w:rPr>
      </w:pPr>
    </w:p>
    <w:p w:rsidR="00F05F1E" w:rsidRPr="00DA312E" w:rsidRDefault="00F05F1E">
      <w:pPr>
        <w:rPr>
          <w:sz w:val="18"/>
          <w:szCs w:val="18"/>
        </w:rPr>
      </w:pPr>
    </w:p>
    <w:sectPr w:rsidR="00F05F1E" w:rsidRPr="00DA312E" w:rsidSect="00C4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6CF"/>
    <w:multiLevelType w:val="hybridMultilevel"/>
    <w:tmpl w:val="CD64FE7C"/>
    <w:lvl w:ilvl="0" w:tplc="66041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31401"/>
    <w:multiLevelType w:val="hybridMultilevel"/>
    <w:tmpl w:val="3D58E8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6BD1"/>
    <w:multiLevelType w:val="multilevel"/>
    <w:tmpl w:val="2208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262FB"/>
    <w:multiLevelType w:val="hybridMultilevel"/>
    <w:tmpl w:val="3EFA5DE0"/>
    <w:lvl w:ilvl="0" w:tplc="7C10DAB8">
      <w:start w:val="2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357344F3"/>
    <w:multiLevelType w:val="multilevel"/>
    <w:tmpl w:val="B9E4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40189"/>
    <w:multiLevelType w:val="multilevel"/>
    <w:tmpl w:val="08C8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E4986"/>
    <w:multiLevelType w:val="multilevel"/>
    <w:tmpl w:val="C9EC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DD6576"/>
    <w:multiLevelType w:val="multilevel"/>
    <w:tmpl w:val="5776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E063E6"/>
    <w:multiLevelType w:val="hybridMultilevel"/>
    <w:tmpl w:val="C65C3EDC"/>
    <w:lvl w:ilvl="0" w:tplc="E3283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3216C"/>
    <w:multiLevelType w:val="multilevel"/>
    <w:tmpl w:val="D2A0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CF2F1A"/>
    <w:multiLevelType w:val="multilevel"/>
    <w:tmpl w:val="7A98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F6"/>
    <w:rsid w:val="00096700"/>
    <w:rsid w:val="000B3170"/>
    <w:rsid w:val="001A423E"/>
    <w:rsid w:val="00420B3E"/>
    <w:rsid w:val="005676C6"/>
    <w:rsid w:val="00620744"/>
    <w:rsid w:val="00621940"/>
    <w:rsid w:val="006A5177"/>
    <w:rsid w:val="007149AA"/>
    <w:rsid w:val="0076415B"/>
    <w:rsid w:val="008544DB"/>
    <w:rsid w:val="009A6041"/>
    <w:rsid w:val="009F0960"/>
    <w:rsid w:val="00B92104"/>
    <w:rsid w:val="00C41325"/>
    <w:rsid w:val="00C92CAD"/>
    <w:rsid w:val="00CA6DEA"/>
    <w:rsid w:val="00D57AF6"/>
    <w:rsid w:val="00DA312E"/>
    <w:rsid w:val="00E30ED8"/>
    <w:rsid w:val="00EC69C4"/>
    <w:rsid w:val="00F05F1E"/>
    <w:rsid w:val="00FB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nhideWhenUsed/>
    <w:rsid w:val="00D5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D57A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57AF6"/>
    <w:pPr>
      <w:ind w:left="720"/>
      <w:contextualSpacing/>
    </w:pPr>
  </w:style>
  <w:style w:type="paragraph" w:customStyle="1" w:styleId="LO-normal">
    <w:name w:val="LO-normal"/>
    <w:rsid w:val="00D57AF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D57AF6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D57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2">
    <w:name w:val="Заголовок 12"/>
    <w:basedOn w:val="a"/>
    <w:rsid w:val="006A5177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styleId="a7">
    <w:name w:val="Balloon Text"/>
    <w:basedOn w:val="a"/>
    <w:link w:val="a8"/>
    <w:uiPriority w:val="99"/>
    <w:semiHidden/>
    <w:unhideWhenUsed/>
    <w:rsid w:val="00C9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nhideWhenUsed/>
    <w:rsid w:val="00D5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D57A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57AF6"/>
    <w:pPr>
      <w:ind w:left="720"/>
      <w:contextualSpacing/>
    </w:pPr>
  </w:style>
  <w:style w:type="paragraph" w:customStyle="1" w:styleId="LO-normal">
    <w:name w:val="LO-normal"/>
    <w:rsid w:val="00D57AF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D57AF6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D57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2">
    <w:name w:val="Заголовок 12"/>
    <w:basedOn w:val="a"/>
    <w:rsid w:val="006A5177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styleId="a7">
    <w:name w:val="Balloon Text"/>
    <w:basedOn w:val="a"/>
    <w:link w:val="a8"/>
    <w:uiPriority w:val="99"/>
    <w:semiHidden/>
    <w:unhideWhenUsed/>
    <w:rsid w:val="00C9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A551-74C8-4BAA-A7CC-4CA40919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4824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Неттбукк</dc:creator>
  <cp:lastModifiedBy>Admin</cp:lastModifiedBy>
  <cp:revision>4</cp:revision>
  <cp:lastPrinted>2021-06-13T09:30:00Z</cp:lastPrinted>
  <dcterms:created xsi:type="dcterms:W3CDTF">2021-06-13T09:43:00Z</dcterms:created>
  <dcterms:modified xsi:type="dcterms:W3CDTF">2021-06-13T10:35:00Z</dcterms:modified>
</cp:coreProperties>
</file>