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36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567"/>
        <w:gridCol w:w="143"/>
        <w:gridCol w:w="6378"/>
        <w:gridCol w:w="1176"/>
        <w:gridCol w:w="9"/>
      </w:tblGrid>
      <w:tr w:rsidR="00C47A95" w:rsidRPr="003F7238" w:rsidTr="003F7238">
        <w:tc>
          <w:tcPr>
            <w:tcW w:w="103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Опис</w:t>
            </w:r>
            <w:r w:rsidR="003F7238"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  підвищення</w:t>
            </w:r>
            <w:r w:rsidR="003F7238"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кваліфікації вчителів образотворчого мистецтва</w:t>
            </w:r>
          </w:p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C47A95" w:rsidRPr="003F7238" w:rsidTr="00C47A9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FB640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C47A95" w:rsidRPr="003F7238" w:rsidTr="00C47A9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Найменування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 w:rsidRPr="003F7238">
              <w:rPr>
                <w:b w:val="0"/>
                <w:sz w:val="18"/>
                <w:szCs w:val="18"/>
              </w:rPr>
              <w:t>Пр</w:t>
            </w:r>
            <w:r w:rsidR="00083549">
              <w:rPr>
                <w:b w:val="0"/>
                <w:sz w:val="18"/>
                <w:szCs w:val="18"/>
              </w:rPr>
              <w:t xml:space="preserve">ограма підвищення кваліфікації </w:t>
            </w:r>
            <w:r w:rsidR="00083549" w:rsidRPr="00FB6406">
              <w:rPr>
                <w:b w:val="0"/>
                <w:sz w:val="18"/>
                <w:szCs w:val="18"/>
              </w:rPr>
              <w:t>в</w:t>
            </w:r>
            <w:r w:rsidRPr="003F7238">
              <w:rPr>
                <w:b w:val="0"/>
                <w:sz w:val="18"/>
                <w:szCs w:val="18"/>
              </w:rPr>
              <w:t xml:space="preserve">чителів образотворчого мистецтва </w:t>
            </w:r>
          </w:p>
        </w:tc>
      </w:tr>
      <w:tr w:rsidR="00C47A95" w:rsidRPr="003F7238" w:rsidTr="00C47A9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Мета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Удосконалення ключових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межах професійної діяльності з урахуванням вимог професійного стандарту та стандарту освіти у галузі «Мистецтво». </w:t>
            </w:r>
          </w:p>
        </w:tc>
      </w:tr>
      <w:tr w:rsidR="00C47A95" w:rsidRPr="003E361D" w:rsidTr="00C47A9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Напрям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Підвищення кваліфікації фахівців за спеціальністю: 011 Освітні, педагогічні науки галузі знань 01 Освіта/Педагогіка у сфері післядипломної освіти осіб з вищою освітою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</w:t>
            </w:r>
            <w:r w:rsidR="0008354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3C" w:rsidRPr="00C4363C" w:rsidRDefault="00C4363C" w:rsidP="00C4363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 навчальному курсі розглядаються концептуальні засади  викладання образотворчого мистецтва та мистецтва в контексті Нової української школи з використанням сучасних методик навчання. Акцентовано увагу на формування інноваційного середовища в сучасному освітньому закладі та </w:t>
            </w:r>
            <w:proofErr w:type="spellStart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особистісно</w:t>
            </w:r>
            <w:proofErr w:type="spellEnd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орієнтованому навчанні, художньо-естетичної компетентності педагога, загальних засадах упровадження інклюзивної освіти, використання спеціалізованих засобів пошуку та опрацювання інформації в Інтернеті.</w:t>
            </w:r>
          </w:p>
          <w:p w:rsidR="00C4363C" w:rsidRPr="00C4363C" w:rsidRDefault="00C4363C" w:rsidP="00C436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Кожна технологія, описана в навчальному курсі, ілюструється практичними прикладами, проблемно-пошуковими завданнями, презентаційними матеріалами з використанням </w:t>
            </w:r>
            <w:proofErr w:type="spellStart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мультимедіа</w:t>
            </w:r>
            <w:proofErr w:type="spellEnd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які допомагають евристично, нестандартно, </w:t>
            </w:r>
            <w:proofErr w:type="spellStart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креативно</w:t>
            </w:r>
            <w:proofErr w:type="spellEnd"/>
            <w:r w:rsidRPr="00C436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вирішувати актуальні проблеми у процесі навчання</w:t>
            </w:r>
          </w:p>
          <w:p w:rsidR="00C4363C" w:rsidRDefault="00C4363C" w:rsidP="00C4363C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C47A95" w:rsidRPr="003F7238" w:rsidRDefault="00C47A95" w:rsidP="00C43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Навчальні</w:t>
            </w:r>
            <w:r w:rsidR="0008354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модулі для </w:t>
            </w:r>
            <w:proofErr w:type="spellStart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конструюванняо</w:t>
            </w:r>
            <w:proofErr w:type="spellEnd"/>
            <w:r w:rsidR="0008354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світньої</w:t>
            </w:r>
            <w:proofErr w:type="spellEnd"/>
            <w:r w:rsidR="00083549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 з/п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Назва модуля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К-сть</w:t>
            </w:r>
            <w:proofErr w:type="spellEnd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год</w:t>
            </w:r>
            <w:proofErr w:type="spellEnd"/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у модулі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b/>
                <w:sz w:val="18"/>
                <w:szCs w:val="18"/>
                <w:lang w:val="uk-UA"/>
              </w:rPr>
            </w:pPr>
            <w:r w:rsidRPr="003F7238">
              <w:rPr>
                <w:b/>
                <w:sz w:val="18"/>
                <w:szCs w:val="18"/>
                <w:lang w:val="uk-UA"/>
              </w:rPr>
              <w:t xml:space="preserve">Модуль 1. Світоглядні основи професійного розвитку педагога. </w:t>
            </w:r>
          </w:p>
          <w:p w:rsidR="00C47A95" w:rsidRPr="003F7238" w:rsidRDefault="00C47A95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sz w:val="18"/>
                <w:szCs w:val="18"/>
                <w:lang w:val="uk-UA"/>
              </w:rPr>
            </w:pPr>
            <w:r w:rsidRPr="003F7238">
              <w:rPr>
                <w:b/>
                <w:sz w:val="18"/>
                <w:szCs w:val="18"/>
                <w:lang w:val="uk-UA"/>
              </w:rPr>
              <w:t>Змістовні лінії:</w:t>
            </w:r>
          </w:p>
          <w:p w:rsidR="00C47A95" w:rsidRPr="003F7238" w:rsidRDefault="00C47A95" w:rsidP="00721B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3F7238">
              <w:rPr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C47A95" w:rsidRPr="003F7238" w:rsidRDefault="00C47A95" w:rsidP="00721B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3F7238">
              <w:rPr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C47A95" w:rsidRPr="003F7238" w:rsidRDefault="00C47A95" w:rsidP="00721B0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b/>
                <w:sz w:val="18"/>
                <w:szCs w:val="18"/>
                <w:lang w:val="ru-RU"/>
              </w:rPr>
            </w:pPr>
            <w:r w:rsidRPr="003F7238">
              <w:rPr>
                <w:sz w:val="18"/>
                <w:szCs w:val="18"/>
                <w:lang w:val="uk-UA"/>
              </w:rPr>
              <w:t xml:space="preserve">Ціннісні та </w:t>
            </w:r>
            <w:proofErr w:type="spellStart"/>
            <w:r w:rsidRPr="003F7238">
              <w:rPr>
                <w:sz w:val="18"/>
                <w:szCs w:val="18"/>
                <w:lang w:val="uk-UA"/>
              </w:rPr>
              <w:t>діяльнісні</w:t>
            </w:r>
            <w:proofErr w:type="spellEnd"/>
            <w:r w:rsidRPr="003F7238">
              <w:rPr>
                <w:sz w:val="18"/>
                <w:szCs w:val="18"/>
                <w:lang w:val="uk-UA"/>
              </w:rPr>
              <w:t xml:space="preserve"> засади професійного розвитку педагога.</w:t>
            </w:r>
          </w:p>
          <w:p w:rsidR="00C47A95" w:rsidRPr="003F7238" w:rsidRDefault="00C47A95" w:rsidP="00721B0A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Мовленнєва</w:t>
            </w:r>
            <w:r w:rsidR="0008354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компетентність педагога.</w:t>
            </w:r>
          </w:p>
          <w:p w:rsidR="00C47A95" w:rsidRPr="003F7238" w:rsidRDefault="00C47A95" w:rsidP="00721B0A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Інфомедійна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грамотність як ключова компетенція </w:t>
            </w: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діджиталізованого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суспільства та головна умова якісної освіти.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3F7238">
              <w:rPr>
                <w:b/>
                <w:sz w:val="18"/>
                <w:szCs w:val="18"/>
                <w:lang w:val="uk-UA"/>
              </w:rPr>
              <w:t>10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2. Психологія, педагогіка та  інклюзивна освіта</w:t>
            </w:r>
          </w:p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Змістовні лінії:</w:t>
            </w:r>
          </w:p>
          <w:p w:rsidR="00C47A95" w:rsidRPr="003F7238" w:rsidRDefault="00C47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1. 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C47A95" w:rsidRPr="003F7238" w:rsidRDefault="00C47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Створення соціально безпечного освітнього середовища: профілактика та подолання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булінгу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особистості в процесі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нейроменеджменту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C47A95" w:rsidRPr="003F7238" w:rsidRDefault="00C47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Педагогіка партнерства: взаємодія з батьками; педагогіка партнерства та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C47A95" w:rsidRPr="003F7238" w:rsidRDefault="00C47A9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Розвиток психологічної компетентності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тімбілдінгу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командотворення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3. Організаційно-методичні засади розвитку професійної  компетентності вчителя</w:t>
            </w:r>
            <w:r w:rsidRPr="003F7238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Змістовні лінії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  <w:r w:rsidR="00C47A95"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A95C12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Інформаційні, цифрові технології в освітньому процесі, Е-навчання, </w:t>
            </w: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кібербезпека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 тощо.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721B0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Професійні компетентності (знання предмета, фахових методик, технологій).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A9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3</w:t>
            </w:r>
            <w:r w:rsidR="00A95C12">
              <w:rPr>
                <w:rFonts w:ascii="Times New Roman" w:hAnsi="Times New Roman"/>
                <w:b/>
                <w:sz w:val="18"/>
                <w:szCs w:val="18"/>
                <w:u w:val="single"/>
                <w:lang w:eastAsia="en-US"/>
              </w:rPr>
              <w:t>0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Державна освітня політика в галузі «Мистецтво»: практична реалізація Державного стандарту базової середньої освіти, Законів України «Про освіту» та </w:t>
            </w:r>
            <w:r w:rsidRPr="003F7238">
              <w:rPr>
                <w:sz w:val="18"/>
                <w:szCs w:val="18"/>
                <w:lang w:eastAsia="en-US"/>
              </w:rPr>
              <w:t>«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 повну загальну середню освіту». Програмно-методичне та навчально-методичне забезпечення викладання образотворчого мистецтва в закладах загальної середньої освіти.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Оцінювання навчальних досягнень учнів з предметів мистецького спрямування. </w:t>
            </w: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потенціал, що відображає здатність мистецької освітньої галузі формувати всі ключові компетентності через розвиток умінь і ставлень.</w:t>
            </w:r>
            <w:r w:rsidR="0008354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Обов’язкові результати навчання здобувачів базової середньої освіти. Особливості оцінювання навчальних досягнень учнів з образотворчого мистецтва.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Сучасний урок образотворчого мистецтва у контексті </w:t>
            </w: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компетентнісної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освіти. Інтерактивні методи навчання на уроках образотворчого мистецтва.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Теми на вибір:</w:t>
            </w:r>
          </w:p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Нетрадиційні техніки в малювання. </w:t>
            </w:r>
          </w:p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Кольористика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як засіб асоціативно-образного бачення твору. Основи композиції в живописі.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Опис, аналіз та інтерпретація</w:t>
            </w:r>
            <w:r w:rsidR="0008354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творів мистецтва.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Арт-терапевтичні технології</w:t>
            </w:r>
            <w:r w:rsidR="0008354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 роботі вчителя образотворчого мистецтва.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Формування духовності школяра засобами образотворчого мистецтва.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proofErr w:type="spellStart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Проєктна</w:t>
            </w:r>
            <w:proofErr w:type="spellEnd"/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діяльність</w:t>
            </w:r>
            <w:r w:rsidR="0008354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вчителя мистецтва та учнів.</w:t>
            </w:r>
            <w:r w:rsidR="0008354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Методика науково-дослідної роботи.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3.2.9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Практика.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Тематична конференція</w:t>
            </w:r>
            <w:r w:rsidRPr="003F723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Науково-методологічні осмислення та рефлексії особистого педагогічного досвіду.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A9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C47A95" w:rsidRPr="003F7238" w:rsidTr="003F7238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A95C12" w:rsidP="00A9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</w:tr>
      <w:tr w:rsidR="00C47A95" w:rsidRPr="003F7238" w:rsidTr="003F7238">
        <w:trPr>
          <w:gridAfter w:val="1"/>
          <w:wAfter w:w="9" w:type="dxa"/>
          <w:trHeight w:val="3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</w:tr>
      <w:tr w:rsidR="00C47A95" w:rsidRPr="003F7238" w:rsidTr="003F7238">
        <w:trPr>
          <w:gridAfter w:val="1"/>
          <w:wAfter w:w="9" w:type="dxa"/>
          <w:trHeight w:val="37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7A95" w:rsidRPr="003F7238" w:rsidRDefault="00C47A95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95" w:rsidRPr="003F7238" w:rsidRDefault="00C47A95">
            <w:pPr>
              <w:spacing w:after="0" w:line="240" w:lineRule="auto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</w:tr>
      <w:tr w:rsidR="00C47A95" w:rsidRPr="00083549" w:rsidTr="00C47A95"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 за програмою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підвищення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кваліфікації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завершується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тематичною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конференцією за участю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науково-педагогічних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працівників та керівників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курсів (не більше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трьох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осіб на одну групу). Тематична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передбачає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обговорення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проблемних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питань, результатів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навчання, виконання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індивідуальних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завдань слухачами курсів за змістом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загальних та методичних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модулів, передбачених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навчальною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програмою, отримання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зворотного</w:t>
            </w:r>
            <w:r w:rsidR="00083549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зв’язку. 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Обсяг</w:t>
            </w:r>
            <w:r w:rsidR="0008354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2кредитів ЄКТС (60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год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Форма підвищення</w:t>
            </w:r>
            <w:r w:rsidR="0008354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Очна заочна, дистанційна відповідно до формату курсів і робочого навчального плану.</w:t>
            </w:r>
          </w:p>
        </w:tc>
      </w:tr>
      <w:tr w:rsidR="00C47A95" w:rsidRPr="003E361D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Перелік </w:t>
            </w:r>
            <w:proofErr w:type="spellStart"/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, що набуваються/</w:t>
            </w:r>
          </w:p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удосконалюються (загальні, фахові тощо)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72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Особистісно</w:t>
            </w:r>
            <w:proofErr w:type="spellEnd"/>
            <w:r w:rsidRPr="003F72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професійні:</w:t>
            </w:r>
          </w:p>
          <w:p w:rsidR="00C47A95" w:rsidRPr="003E361D" w:rsidRDefault="00C47A95" w:rsidP="000835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–здатність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здійснювати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цілепокладання</w:t>
            </w:r>
            <w:proofErr w:type="spellEnd"/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рефлексію;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E361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виявляти власне ціннісно-смислове ставлення до діяльності;</w:t>
            </w:r>
            <w:r w:rsidR="00083549" w:rsidRPr="003E36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361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саморозвитку та самореалізації</w:t>
            </w:r>
          </w:p>
          <w:p w:rsidR="00083549" w:rsidRPr="00083549" w:rsidRDefault="00C47A95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72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Загальнопедагогічні</w:t>
            </w:r>
            <w:proofErr w:type="spellEnd"/>
            <w:r w:rsidRPr="003F72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7A95" w:rsidRPr="003F7238" w:rsidRDefault="00083549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розуміти нормативно-правові документи, науково-методичну літературу;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висловлювати та обґрунтовувати власну думку усно і письмово; 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мислити системно й критично;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здатність проявляти ініціативу та логічно обґрунтовувати позицію; 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творчо підходити до розв’язання проблем і задач;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конструктивно керувати емоціями;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оцінювати ризики та приймати відповідальні рішення;</w:t>
            </w:r>
            <w:r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A95"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співпрацювати з іншими суб’єктами освітнього процесу</w:t>
            </w:r>
          </w:p>
          <w:p w:rsidR="00C47A95" w:rsidRPr="003F7238" w:rsidRDefault="00C47A95">
            <w:pPr>
              <w:pStyle w:val="LO-normal"/>
              <w:widowControl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72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Фахові:</w:t>
            </w:r>
          </w:p>
          <w:p w:rsidR="00C47A95" w:rsidRPr="00083549" w:rsidRDefault="00C47A95" w:rsidP="00083549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планувати і здійснювати освітню діяльність;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проводити педагогічні дослідження;</w:t>
            </w:r>
            <w:r w:rsidR="00083549" w:rsidRPr="00083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надавати методичну допомогу колегам;</w:t>
            </w:r>
            <w:r w:rsidR="00083549" w:rsidRPr="00083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узагальнити власний педагогічний досвід;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оцінити результати власної діяльності;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формувати в здобувачів освіти ключові та предметні компетентності;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створювати безпечне інклюзивне освітнє середовище;</w:t>
            </w:r>
            <w:r w:rsidR="00083549" w:rsidRPr="00083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використовувати інформаційно-комунікативні та цифрові технології в освітньому процесі;</w:t>
            </w:r>
            <w:r w:rsidR="00083549" w:rsidRPr="00083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7238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здатність</w:t>
            </w:r>
            <w:r w:rsidR="0008354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розвивати</w:t>
            </w:r>
            <w:r w:rsidR="0008354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професійні</w:t>
            </w:r>
            <w:r w:rsidR="0008354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компетентності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Строки виконання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Упродовж двох тижнів відповідно до плану-графіку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Місце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виконання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041D5D" w:rsidP="00041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Інститут післядипломної освіти та довузівської підготовки Прикарпатського національного університету імені Василя Стефаника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Вартість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041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Освітні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послуги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нада</w:t>
            </w:r>
            <w:r w:rsidR="00041D5D">
              <w:rPr>
                <w:rFonts w:ascii="Times New Roman" w:hAnsi="Times New Roman"/>
                <w:sz w:val="18"/>
                <w:szCs w:val="18"/>
                <w:lang w:eastAsia="en-US"/>
              </w:rPr>
              <w:t>ється за рахунок освітньої субвенції Кабінету Міністрів України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Графік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освітнього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процесу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 w:rsidP="00041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Затверджується </w:t>
            </w:r>
            <w:r w:rsidR="00041D5D">
              <w:rPr>
                <w:rFonts w:ascii="Times New Roman" w:hAnsi="Times New Roman"/>
                <w:sz w:val="18"/>
                <w:szCs w:val="18"/>
                <w:lang w:eastAsia="en-US"/>
              </w:rPr>
              <w:t>проректором з науково-педагогічної роботи Прикарпатського національного університету імені Василя Стефаника</w:t>
            </w:r>
          </w:p>
        </w:tc>
      </w:tr>
      <w:tr w:rsidR="00C47A95" w:rsidRPr="003F7238" w:rsidTr="00C47A95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Документ, що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видається за результатами підвищення</w:t>
            </w:r>
            <w:r w:rsidR="0008354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A95" w:rsidRPr="003F7238" w:rsidRDefault="00C47A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F723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Свідоцтво.</w:t>
            </w:r>
          </w:p>
        </w:tc>
      </w:tr>
    </w:tbl>
    <w:p w:rsidR="00C47A95" w:rsidRPr="003F7238" w:rsidRDefault="00C47A95" w:rsidP="00C47A95">
      <w:pPr>
        <w:rPr>
          <w:sz w:val="18"/>
          <w:szCs w:val="18"/>
        </w:rPr>
      </w:pPr>
    </w:p>
    <w:p w:rsidR="00D83760" w:rsidRPr="003F7238" w:rsidRDefault="00D83760">
      <w:pPr>
        <w:rPr>
          <w:sz w:val="18"/>
          <w:szCs w:val="18"/>
        </w:rPr>
      </w:pPr>
    </w:p>
    <w:sectPr w:rsidR="00D83760" w:rsidRPr="003F7238" w:rsidSect="0065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6CF"/>
    <w:multiLevelType w:val="hybridMultilevel"/>
    <w:tmpl w:val="9E20D184"/>
    <w:lvl w:ilvl="0" w:tplc="6A860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063E6"/>
    <w:multiLevelType w:val="hybridMultilevel"/>
    <w:tmpl w:val="36E2D8FC"/>
    <w:lvl w:ilvl="0" w:tplc="E29C0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47A95"/>
    <w:rsid w:val="00022AF9"/>
    <w:rsid w:val="00041D5D"/>
    <w:rsid w:val="00083549"/>
    <w:rsid w:val="0025692A"/>
    <w:rsid w:val="003E361D"/>
    <w:rsid w:val="003F7238"/>
    <w:rsid w:val="00456C70"/>
    <w:rsid w:val="005735F9"/>
    <w:rsid w:val="005F45C1"/>
    <w:rsid w:val="006514A7"/>
    <w:rsid w:val="009E0819"/>
    <w:rsid w:val="00A95C12"/>
    <w:rsid w:val="00C10E1C"/>
    <w:rsid w:val="00C4363C"/>
    <w:rsid w:val="00C45B89"/>
    <w:rsid w:val="00C47A95"/>
    <w:rsid w:val="00D83760"/>
    <w:rsid w:val="00D929C5"/>
    <w:rsid w:val="00F24B55"/>
    <w:rsid w:val="00FB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A95"/>
    <w:pPr>
      <w:ind w:left="720"/>
      <w:contextualSpacing/>
    </w:pPr>
  </w:style>
  <w:style w:type="paragraph" w:customStyle="1" w:styleId="LO-normal">
    <w:name w:val="LO-normal"/>
    <w:rsid w:val="00C47A95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C47A95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C47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083549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A95"/>
    <w:pPr>
      <w:ind w:left="720"/>
      <w:contextualSpacing/>
    </w:pPr>
  </w:style>
  <w:style w:type="paragraph" w:customStyle="1" w:styleId="LO-normal">
    <w:name w:val="LO-normal"/>
    <w:rsid w:val="00C47A95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C47A95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C47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083549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2243-77A8-4D34-9976-C9DFCD52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6</cp:revision>
  <dcterms:created xsi:type="dcterms:W3CDTF">2021-06-12T12:37:00Z</dcterms:created>
  <dcterms:modified xsi:type="dcterms:W3CDTF">2021-06-13T10:43:00Z</dcterms:modified>
</cp:coreProperties>
</file>