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45" w:rsidRDefault="00F05645" w:rsidP="00D31E15">
      <w:pPr>
        <w:spacing w:after="0" w:line="240" w:lineRule="auto"/>
        <w:jc w:val="both"/>
        <w:rPr>
          <w:b/>
          <w:sz w:val="24"/>
          <w:szCs w:val="24"/>
          <w:lang w:val="uk-UA"/>
        </w:rPr>
      </w:pPr>
    </w:p>
    <w:p w:rsidR="00812D9B" w:rsidRDefault="005726FD" w:rsidP="00812D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5377D">
        <w:rPr>
          <w:rFonts w:ascii="Times New Roman" w:hAnsi="Times New Roman"/>
          <w:b/>
          <w:sz w:val="18"/>
          <w:szCs w:val="18"/>
          <w:lang w:eastAsia="en-US"/>
        </w:rPr>
        <w:t>Опис</w:t>
      </w:r>
      <w:proofErr w:type="spellEnd"/>
      <w:r w:rsidRPr="00A5377D">
        <w:rPr>
          <w:rFonts w:ascii="Times New Roman" w:hAnsi="Times New Roman"/>
          <w:b/>
          <w:sz w:val="18"/>
          <w:szCs w:val="18"/>
          <w:lang w:eastAsia="en-US"/>
        </w:rPr>
        <w:t xml:space="preserve"> </w:t>
      </w:r>
      <w:proofErr w:type="spellStart"/>
      <w:r w:rsidRPr="00A5377D">
        <w:rPr>
          <w:rFonts w:ascii="Times New Roman" w:hAnsi="Times New Roman"/>
          <w:b/>
          <w:sz w:val="18"/>
          <w:szCs w:val="18"/>
          <w:lang w:eastAsia="en-US"/>
        </w:rPr>
        <w:t>програми</w:t>
      </w:r>
      <w:proofErr w:type="spellEnd"/>
      <w:r w:rsidRPr="00A5377D">
        <w:rPr>
          <w:rFonts w:ascii="Times New Roman" w:hAnsi="Times New Roman"/>
          <w:b/>
          <w:sz w:val="18"/>
          <w:szCs w:val="18"/>
          <w:lang w:eastAsia="en-US"/>
        </w:rPr>
        <w:t xml:space="preserve"> </w:t>
      </w:r>
      <w:proofErr w:type="spellStart"/>
      <w:proofErr w:type="gramStart"/>
      <w:r w:rsidRPr="00A5377D">
        <w:rPr>
          <w:rFonts w:ascii="Times New Roman" w:hAnsi="Times New Roman"/>
          <w:b/>
          <w:sz w:val="18"/>
          <w:szCs w:val="18"/>
          <w:lang w:eastAsia="en-US"/>
        </w:rPr>
        <w:t>п</w:t>
      </w:r>
      <w:proofErr w:type="gramEnd"/>
      <w:r w:rsidRPr="00A5377D">
        <w:rPr>
          <w:rFonts w:ascii="Times New Roman" w:hAnsi="Times New Roman"/>
          <w:b/>
          <w:sz w:val="18"/>
          <w:szCs w:val="18"/>
          <w:lang w:eastAsia="en-US"/>
        </w:rPr>
        <w:t>ідвищення</w:t>
      </w:r>
      <w:proofErr w:type="spellEnd"/>
      <w:r w:rsidRPr="00A5377D">
        <w:rPr>
          <w:rFonts w:ascii="Times New Roman" w:hAnsi="Times New Roman"/>
          <w:b/>
          <w:sz w:val="18"/>
          <w:szCs w:val="18"/>
          <w:lang w:eastAsia="en-US"/>
        </w:rPr>
        <w:t xml:space="preserve"> </w:t>
      </w:r>
      <w:proofErr w:type="spellStart"/>
      <w:r w:rsidRPr="00A5377D">
        <w:rPr>
          <w:rFonts w:ascii="Times New Roman" w:hAnsi="Times New Roman"/>
          <w:b/>
          <w:sz w:val="18"/>
          <w:szCs w:val="18"/>
          <w:lang w:eastAsia="en-US"/>
        </w:rPr>
        <w:t>кваліфікації</w:t>
      </w:r>
      <w:proofErr w:type="spellEnd"/>
      <w:r w:rsidRPr="00A5377D">
        <w:rPr>
          <w:rFonts w:ascii="Times New Roman" w:hAnsi="Times New Roman"/>
          <w:b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hAnsi="Times New Roman"/>
          <w:b/>
          <w:sz w:val="18"/>
          <w:szCs w:val="18"/>
          <w:lang w:eastAsia="en-US"/>
        </w:rPr>
        <w:t>в</w:t>
      </w:r>
      <w:r w:rsidRPr="00A5377D">
        <w:rPr>
          <w:rFonts w:ascii="Times New Roman" w:hAnsi="Times New Roman"/>
          <w:b/>
          <w:sz w:val="18"/>
          <w:szCs w:val="18"/>
          <w:lang w:eastAsia="en-US"/>
        </w:rPr>
        <w:t>чителів</w:t>
      </w:r>
      <w:proofErr w:type="spellEnd"/>
      <w:r w:rsidRPr="00A5377D">
        <w:rPr>
          <w:rFonts w:ascii="Times New Roman" w:hAnsi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 w:eastAsia="en-US"/>
        </w:rPr>
        <w:t>математики (5 – 11 класи)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4"/>
        <w:gridCol w:w="6499"/>
        <w:gridCol w:w="1127"/>
      </w:tblGrid>
      <w:tr w:rsidR="00812D9B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Найменування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 w:rsidP="005726FD">
            <w:pPr>
              <w:pStyle w:val="11"/>
              <w:ind w:left="0"/>
              <w:rPr>
                <w:b w:val="0"/>
                <w:sz w:val="18"/>
                <w:szCs w:val="18"/>
              </w:rPr>
            </w:pPr>
            <w:r w:rsidRPr="005726FD">
              <w:rPr>
                <w:b w:val="0"/>
                <w:sz w:val="18"/>
                <w:szCs w:val="18"/>
              </w:rPr>
              <w:t xml:space="preserve">Програма підвищення кваліфікації </w:t>
            </w:r>
            <w:r w:rsidR="005726FD" w:rsidRPr="005726FD">
              <w:rPr>
                <w:b w:val="0"/>
                <w:sz w:val="18"/>
                <w:szCs w:val="18"/>
              </w:rPr>
              <w:t>в</w:t>
            </w:r>
            <w:r w:rsidRPr="005726FD">
              <w:rPr>
                <w:b w:val="0"/>
                <w:sz w:val="18"/>
                <w:szCs w:val="18"/>
              </w:rPr>
              <w:t xml:space="preserve">чителів </w:t>
            </w:r>
            <w:r w:rsidR="00A5089E" w:rsidRPr="005726FD">
              <w:rPr>
                <w:b w:val="0"/>
                <w:sz w:val="18"/>
                <w:szCs w:val="18"/>
              </w:rPr>
              <w:t xml:space="preserve">математики </w:t>
            </w:r>
          </w:p>
        </w:tc>
      </w:tr>
      <w:tr w:rsidR="00812D9B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Мета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8D" w:rsidRPr="005726FD" w:rsidRDefault="005726FD" w:rsidP="005726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Удосконалення ключових </w:t>
            </w:r>
            <w:proofErr w:type="spellStart"/>
            <w:r w:rsidRPr="005726FD">
              <w:rPr>
                <w:rFonts w:ascii="Times New Roman" w:hAnsi="Times New Roman"/>
                <w:sz w:val="18"/>
                <w:szCs w:val="18"/>
                <w:lang w:val="uk-UA" w:eastAsia="en-US"/>
              </w:rPr>
              <w:t>компетентностей</w:t>
            </w:r>
            <w:proofErr w:type="spellEnd"/>
            <w:r w:rsidRPr="005726FD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в межах професійної діяльності з урахуванням вимог професійного стандарту та стандарту освіти зі спеціальності 014.</w:t>
            </w:r>
            <w:r>
              <w:rPr>
                <w:rFonts w:ascii="Times New Roman" w:hAnsi="Times New Roman"/>
                <w:sz w:val="18"/>
                <w:szCs w:val="18"/>
                <w:lang w:val="uk-UA" w:eastAsia="en-US"/>
              </w:rPr>
              <w:t>04</w:t>
            </w:r>
            <w:r w:rsidRPr="005726FD">
              <w:rPr>
                <w:rFonts w:ascii="Times New Roman" w:hAnsi="Times New Roman"/>
                <w:sz w:val="18"/>
                <w:szCs w:val="18"/>
                <w:lang w:val="uk-UA" w:eastAsia="en-US"/>
              </w:rPr>
              <w:t xml:space="preserve"> Середня освіта (М</w:t>
            </w:r>
            <w:r>
              <w:rPr>
                <w:rFonts w:ascii="Times New Roman" w:hAnsi="Times New Roman"/>
                <w:sz w:val="18"/>
                <w:szCs w:val="18"/>
                <w:lang w:val="uk-UA" w:eastAsia="en-US"/>
              </w:rPr>
              <w:t>атематика</w:t>
            </w:r>
            <w:r w:rsidRPr="005726FD">
              <w:rPr>
                <w:rFonts w:ascii="Times New Roman" w:hAnsi="Times New Roman"/>
                <w:sz w:val="18"/>
                <w:szCs w:val="18"/>
                <w:lang w:val="uk-UA" w:eastAsia="en-US"/>
              </w:rPr>
              <w:t>)</w:t>
            </w:r>
          </w:p>
        </w:tc>
      </w:tr>
      <w:tr w:rsidR="00812D9B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Напрям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 w:rsidP="00572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Підвищення кваліфікації фахівців за спеціальністю: 01</w:t>
            </w:r>
            <w:r w:rsid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4.04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Середня освіта (Математика)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галузі знань 01 Освіта</w:t>
            </w:r>
            <w:r w:rsidR="00883D23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/Педагогіка</w:t>
            </w:r>
          </w:p>
        </w:tc>
      </w:tr>
      <w:tr w:rsidR="00812D9B" w:rsidRPr="005726FD" w:rsidTr="005726F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Зміст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Навчальні модулі для конструювання освітньої програми  </w:t>
            </w:r>
          </w:p>
        </w:tc>
      </w:tr>
      <w:tr w:rsidR="00812D9B" w:rsidRPr="005726FD" w:rsidTr="005726F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модуля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К-сть год у модулі</w:t>
            </w:r>
          </w:p>
        </w:tc>
      </w:tr>
      <w:tr w:rsidR="00812D9B" w:rsidRPr="005726FD" w:rsidTr="005726F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 w:rsidP="0088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25" w:rsidRPr="005726FD" w:rsidRDefault="007E4225" w:rsidP="007B03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uk-UA"/>
              </w:rPr>
            </w:pPr>
            <w:r w:rsidRPr="005726FD">
              <w:rPr>
                <w:rFonts w:ascii="Times New Roman" w:hAnsi="Times New Roman" w:cs="Times New Roman"/>
                <w:b/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Модуль 1. Світоглядні основи професійного розвитку педагога </w:t>
            </w:r>
          </w:p>
          <w:p w:rsidR="007B03D5" w:rsidRPr="005726FD" w:rsidRDefault="00812D9B" w:rsidP="007B03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Змістов</w:t>
            </w:r>
            <w:r w:rsidR="00124CF9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ні</w:t>
            </w: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ліні</w:t>
            </w:r>
            <w:r w:rsidR="00124CF9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ї</w:t>
            </w:r>
            <w:r w:rsidR="00F05645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  <w:p w:rsidR="00F05645" w:rsidRPr="005726FD" w:rsidRDefault="005726FD" w:rsidP="005726FD">
            <w:p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Державна стратегія розвитку освіти. «Законодавче забезпечення системи освіти та професійного розвитку педагога в Україні.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br/>
            </w:r>
            <w:r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2. 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br/>
            </w:r>
            <w:r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3.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Ціннісні та діяльнісні засади професійного розвитку педагога.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br/>
            </w:r>
            <w:r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4.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Мовленнєва компетентність педагога.</w:t>
            </w:r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lang w:val="uk-UA"/>
              </w:rPr>
              <w:br/>
            </w:r>
            <w:proofErr w:type="spellStart"/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Інфомедійна</w:t>
            </w:r>
            <w:proofErr w:type="spellEnd"/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 грамотність як ключова компетенція </w:t>
            </w:r>
            <w:proofErr w:type="spellStart"/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діджиталізованого</w:t>
            </w:r>
            <w:proofErr w:type="spellEnd"/>
            <w:r w:rsidR="007B03D5" w:rsidRPr="005726FD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 xml:space="preserve"> суспільства та головна умова якісної освіти.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5726FD" w:rsidP="00D31E15">
            <w:pPr>
              <w:pStyle w:val="TableParagraph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</w:tr>
      <w:tr w:rsidR="00812D9B" w:rsidRPr="005726FD" w:rsidTr="005726F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9B" w:rsidRPr="005726FD" w:rsidRDefault="00812D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D9B" w:rsidRPr="005726FD" w:rsidRDefault="00812D9B" w:rsidP="0088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6FD" w:rsidRPr="00A5377D" w:rsidRDefault="005726FD" w:rsidP="00572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Модуль 2. </w:t>
            </w: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Психологія</w:t>
            </w:r>
            <w:proofErr w:type="spellEnd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педагогіка</w:t>
            </w:r>
            <w:proofErr w:type="spellEnd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та  </w:t>
            </w: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інклюзивна</w:t>
            </w:r>
            <w:proofErr w:type="spellEnd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освіта</w:t>
            </w:r>
            <w:proofErr w:type="spellEnd"/>
          </w:p>
          <w:p w:rsidR="005726FD" w:rsidRPr="00A5377D" w:rsidRDefault="005726FD" w:rsidP="00572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Змістовні</w:t>
            </w:r>
            <w:proofErr w:type="spellEnd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лінії</w:t>
            </w:r>
            <w:proofErr w:type="spellEnd"/>
            <w:r w:rsidRPr="00A5377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:</w:t>
            </w:r>
          </w:p>
          <w:p w:rsidR="005726FD" w:rsidRPr="00A5377D" w:rsidRDefault="005726FD" w:rsidP="005726F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Основи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інклюзивного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навчання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діти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особливими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потребами: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особливості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навчання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розвитку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, психолого-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педагогічні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умови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їх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ідтримки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освітньому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процесі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універсальний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дизайн в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освіті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5726FD" w:rsidRPr="00A5377D" w:rsidRDefault="005726FD" w:rsidP="005726F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Створення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соц</w:t>
            </w:r>
            <w:proofErr w:type="gram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іально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безпечного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освітнього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середовища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профілактика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подолання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булінгу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шкільного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насилля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 закладах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освіти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сучасні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проблеми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адаптації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соціалізації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особистості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формування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соціальних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компетентностей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особистості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процесі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нейроменеджменту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5726FD" w:rsidRPr="00A5377D" w:rsidRDefault="005726FD" w:rsidP="005726F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Педагогіка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партнерства: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взаємодія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 батьками;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педагогіка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партнерства та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ідхід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у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роботі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вчителя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педагогічний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супровід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талановитих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дітей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розвиток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емоційної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педагога.</w:t>
            </w:r>
          </w:p>
          <w:p w:rsidR="00812D9B" w:rsidRPr="005726FD" w:rsidRDefault="005726FD" w:rsidP="005726FD">
            <w:pPr>
              <w:jc w:val="both"/>
              <w:rPr>
                <w:sz w:val="18"/>
                <w:szCs w:val="18"/>
                <w:lang w:val="uk-UA"/>
              </w:rPr>
            </w:pPr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Розвиток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психологічної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педагога: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психологічні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особливості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розвитку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дитини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на </w:t>
            </w:r>
            <w:proofErr w:type="spellStart"/>
            <w:proofErr w:type="gram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р</w:t>
            </w:r>
            <w:proofErr w:type="gram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ізних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вікових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етапах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стратегії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і тактики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попередження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професійного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стресу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психологія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тімбілдінгу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командотворення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);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психодіагностика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особистості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учня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психологія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>класного</w:t>
            </w:r>
            <w:proofErr w:type="spellEnd"/>
            <w:r w:rsidRPr="00A5377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менеджменту.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9B" w:rsidRPr="005726FD" w:rsidRDefault="00DC4926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1</w:t>
            </w:r>
            <w:r w:rsid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2</w:t>
            </w:r>
          </w:p>
        </w:tc>
      </w:tr>
      <w:tr w:rsidR="0056245E" w:rsidRPr="005726FD" w:rsidTr="005726F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5E" w:rsidRPr="005726FD" w:rsidRDefault="005624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956A5B" w:rsidP="00883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5F" w:rsidRPr="005726FD" w:rsidRDefault="00B215A6" w:rsidP="003117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Модуль</w:t>
            </w:r>
            <w:r w:rsidR="00883D23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 </w:t>
            </w:r>
            <w:r w:rsidR="00A53E3E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3.</w:t>
            </w:r>
            <w:r w:rsidR="00883D23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 </w:t>
            </w:r>
            <w:r w:rsidR="0031175F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Організаційно-методичні</w:t>
            </w: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 засади розвитку професійної  компетентності вчителя</w:t>
            </w:r>
            <w:r w:rsidR="00D34856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 </w:t>
            </w:r>
            <w:r w:rsidR="00A6517B"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математики</w:t>
            </w:r>
            <w:r w:rsidR="00A027C7" w:rsidRPr="005726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:</w:t>
            </w:r>
          </w:p>
          <w:p w:rsidR="001105D8" w:rsidRPr="005726FD" w:rsidRDefault="005726FD" w:rsidP="005726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3.1 </w:t>
            </w:r>
            <w:r w:rsidR="00A53E3E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Сучасний стан розвитку </w:t>
            </w:r>
            <w:r w:rsidR="00A6517B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>математичної</w:t>
            </w:r>
            <w:r w:rsidR="00A53E3E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 науки</w:t>
            </w:r>
            <w:r w:rsidR="00DD5B7E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 (фах)</w:t>
            </w:r>
          </w:p>
          <w:p w:rsidR="00C25FEB" w:rsidRPr="005726FD" w:rsidRDefault="001105D8" w:rsidP="001105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C25FEB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Роль математики у сучасному </w:t>
            </w:r>
            <w:proofErr w:type="gramStart"/>
            <w:r w:rsidR="00C25FEB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св</w:t>
            </w:r>
            <w:proofErr w:type="gramEnd"/>
            <w:r w:rsidR="00C25FEB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іті. </w:t>
            </w:r>
          </w:p>
          <w:p w:rsidR="00DD5B7E" w:rsidRPr="005726FD" w:rsidRDefault="00AE1F6C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CF083A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А</w:t>
            </w:r>
            <w:r w:rsidR="00A53E3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ктуальні і перспективні </w:t>
            </w:r>
            <w:proofErr w:type="gramStart"/>
            <w:r w:rsidR="00A53E3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напрямки</w:t>
            </w:r>
            <w:proofErr w:type="gramEnd"/>
            <w:r w:rsidR="00A53E3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розвитку сучасної </w:t>
            </w:r>
            <w:r w:rsidR="007E4225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математичної </w:t>
            </w:r>
            <w:r w:rsidR="00A53E3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науки.</w:t>
            </w:r>
            <w:r w:rsidR="007E4225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573FEF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Концепції математичної освіти.  </w:t>
            </w:r>
            <w:r w:rsidR="00C910D6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STEM</w:t>
            </w:r>
            <w:r w:rsidR="00C910D6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-освіта.</w:t>
            </w:r>
            <w:r w:rsidR="005F05C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  <w:p w:rsidR="00A53E3E" w:rsidRPr="005726FD" w:rsidRDefault="00AE1F6C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–</w:t>
            </w:r>
            <w:r w:rsidR="002316CF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A53E3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Наукові </w:t>
            </w:r>
            <w:r w:rsidR="00495AA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методи </w:t>
            </w:r>
            <w:r w:rsidR="004A19C4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математичних </w:t>
            </w:r>
            <w:r w:rsidR="00495AAE"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досліджень.</w:t>
            </w:r>
          </w:p>
          <w:p w:rsidR="00044182" w:rsidRPr="005726FD" w:rsidRDefault="00AE1F6C" w:rsidP="000441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</w:pPr>
            <w:proofErr w:type="spellStart"/>
            <w:r w:rsidRPr="005726F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–</w:t>
            </w:r>
            <w:r w:rsidR="00044182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Якість</w:t>
            </w:r>
            <w:proofErr w:type="spellEnd"/>
            <w:r w:rsidR="00044182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природничо-математичної освіти: використання результатів</w:t>
            </w:r>
            <w:r w:rsidR="00C25FEB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044182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міжнародних порівняльних досліджень</w:t>
            </w:r>
            <w:r w:rsidR="001105D8" w:rsidRPr="005726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.</w:t>
            </w:r>
          </w:p>
          <w:p w:rsidR="00A53E3E" w:rsidRPr="005726FD" w:rsidRDefault="005726FD" w:rsidP="005726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>3.2.</w:t>
            </w:r>
            <w:r w:rsidR="00DD5B7E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Нормативні засади організації освітнього процесу з </w:t>
            </w:r>
            <w:r w:rsidR="008B11D2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>математики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 Державний стандарт базової середньої освіти: особливості і шляхи впровадження (освітня галузь «</w:t>
            </w:r>
            <w:r w:rsidR="008B11D2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Математика</w:t>
            </w: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»).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–  Нормативно-правове забезпечення викладання </w:t>
            </w:r>
            <w:r w:rsidR="008B11D2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математики</w:t>
            </w: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– Навчально-методичне забезпечення викладання </w:t>
            </w:r>
            <w:r w:rsidR="008B11D2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математики</w:t>
            </w: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: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А. Модельні навчальні програми як основа для розроблення власних навчальних програм.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Б. Зміст освітніх програм з </w:t>
            </w:r>
            <w:r w:rsidR="008B11D2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математики</w:t>
            </w:r>
            <w:r w:rsidR="0006022B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  <w:r w:rsidR="00DA664C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  <w:p w:rsidR="00915F56" w:rsidRPr="005726FD" w:rsidRDefault="00915F56" w:rsidP="00915F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В. Інструктивно-методичні рекомендації щодо </w:t>
            </w:r>
            <w:r w:rsidR="008B11D2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викладання математики</w:t>
            </w:r>
            <w:r w:rsidR="00DA664C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</w:p>
          <w:p w:rsidR="00C46183" w:rsidRPr="005726FD" w:rsidRDefault="005726FD" w:rsidP="00572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3.3.</w:t>
            </w:r>
            <w:r w:rsidR="00C46183"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 xml:space="preserve">Планування освітнього процесу з </w:t>
            </w:r>
            <w:r w:rsidR="001B421C"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>математики</w:t>
            </w:r>
          </w:p>
          <w:p w:rsidR="00677553" w:rsidRPr="005726FD" w:rsidRDefault="00C46183" w:rsidP="00915F56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en-US"/>
              </w:rPr>
              <w:t>Поурочне планування.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67755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Форми організації навчання, диференціації та індивідуалізації, технології навчання</w:t>
            </w:r>
            <w:r w:rsidR="009E1DD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Методика викладання окремих тем шкільного курсу </w:t>
            </w:r>
            <w:r w:rsidR="001B421C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математики</w:t>
            </w:r>
            <w:r w:rsidR="00CF083A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7A7FC8" w:rsidRPr="005726FD" w:rsidRDefault="007A7FC8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– Реалізація </w:t>
            </w:r>
            <w:r w:rsidR="001B421C" w:rsidRPr="005726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 xml:space="preserve">сучасних підходів </w:t>
            </w:r>
            <w:r w:rsidR="00B55092" w:rsidRPr="005726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та принципів організації освітнього процесу з математики</w:t>
            </w:r>
            <w:r w:rsidRPr="005726F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/>
              </w:rPr>
              <w:t>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Формування ключових компетентностей в учнів під час навчання</w:t>
            </w:r>
            <w:r w:rsidR="00D51B9E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55092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математики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Розробка творчих завдань </w:t>
            </w:r>
            <w:proofErr w:type="spellStart"/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компетен</w:t>
            </w:r>
            <w:r w:rsidR="00B55092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тн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існого</w:t>
            </w:r>
            <w:proofErr w:type="spellEnd"/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змісту.</w:t>
            </w:r>
          </w:p>
          <w:p w:rsidR="00C46183" w:rsidRPr="005726FD" w:rsidRDefault="00C46183" w:rsidP="00915F56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en-US"/>
              </w:rPr>
              <w:t>Позакласна робота.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 Форми позакласної роботи з </w:t>
            </w:r>
            <w:r w:rsidR="00B55092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математики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 для розвитку особистості учнів, самостійності, самовдосконал</w:t>
            </w:r>
            <w:r w:rsidR="00DA664C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ення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 та мотивації до вивчення предмета.</w:t>
            </w:r>
          </w:p>
          <w:p w:rsidR="00C46183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lastRenderedPageBreak/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 w:eastAsia="en-US"/>
              </w:rPr>
              <w:t xml:space="preserve"> 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 xml:space="preserve">Організація та проведення науково-дослідної роботи обдарованої учнівської молоді </w:t>
            </w:r>
            <w:r w:rsidR="00DA664C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в системі олімпіад та турнірів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.</w:t>
            </w:r>
          </w:p>
          <w:p w:rsidR="00C46183" w:rsidRPr="005726FD" w:rsidRDefault="00C46183" w:rsidP="00D65B20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Створення сучасного освітнього </w:t>
            </w:r>
            <w:r w:rsidR="00753F55"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середовища</w:t>
            </w: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 xml:space="preserve"> для вивчення </w:t>
            </w:r>
            <w:r w:rsidR="00EC2917"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математики</w:t>
            </w:r>
          </w:p>
          <w:p w:rsidR="00C46183" w:rsidRPr="005726FD" w:rsidRDefault="00915F56" w:rsidP="00C4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Сучасне обладнання кабінету </w:t>
            </w:r>
            <w:r w:rsidR="00EC2917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математики</w:t>
            </w:r>
            <w:r w:rsidR="00C46183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. </w:t>
            </w:r>
          </w:p>
          <w:p w:rsidR="00677553" w:rsidRPr="005726FD" w:rsidRDefault="00915F56" w:rsidP="00C4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7A7FC8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Методика </w:t>
            </w:r>
            <w:r w:rsidR="009E1DD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використання </w:t>
            </w:r>
            <w:r w:rsidR="00766FCE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мультимедійного обладнання</w:t>
            </w:r>
            <w:r w:rsidR="009E1DD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в освітньому процесі </w:t>
            </w:r>
            <w:r w:rsidR="009E234A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при вивченні </w:t>
            </w:r>
            <w:r w:rsidR="009E1DD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AA39EA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математики</w:t>
            </w:r>
            <w:r w:rsidR="009E1DD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CF083A" w:rsidRPr="005726FD" w:rsidRDefault="00753F55" w:rsidP="00D65B20">
            <w:pPr>
              <w:pStyle w:val="a4"/>
              <w:numPr>
                <w:ilvl w:val="0"/>
                <w:numId w:val="12"/>
              </w:numPr>
              <w:spacing w:after="160" w:line="259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Форми, засоби, </w:t>
            </w:r>
            <w:r w:rsidR="00C46183"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методи</w:t>
            </w:r>
            <w:r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і прийоми</w:t>
            </w:r>
            <w:r w:rsidR="00C46183"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викладання </w:t>
            </w:r>
            <w:r w:rsidR="00AA39EA"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математики</w:t>
            </w:r>
            <w:r w:rsidR="00C46183" w:rsidRPr="005726F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(методика)</w:t>
            </w:r>
            <w:r w:rsidR="00D51B9E" w:rsidRPr="005726FD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val="uk-UA" w:eastAsia="en-US"/>
              </w:rPr>
              <w:t xml:space="preserve"> </w:t>
            </w:r>
          </w:p>
          <w:p w:rsidR="00677553" w:rsidRPr="005726FD" w:rsidRDefault="00C46183" w:rsidP="005726FD">
            <w:pPr>
              <w:pStyle w:val="a4"/>
              <w:spacing w:after="0" w:line="259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en-US"/>
              </w:rPr>
              <w:t>Основні напрямки</w:t>
            </w:r>
          </w:p>
          <w:p w:rsidR="00915F56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– 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Особливості застосування освітніх інновацій в  стандартних і  нестандартних ситуаціях.</w:t>
            </w:r>
          </w:p>
          <w:p w:rsidR="00915F56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Методика навчання предмет</w:t>
            </w:r>
            <w:r w:rsidR="00DA664C"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у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у межах освітньої галузі «</w:t>
            </w:r>
            <w:r w:rsidR="00AA39EA"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Математика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».</w:t>
            </w:r>
          </w:p>
          <w:p w:rsidR="000F6BE1" w:rsidRPr="005726FD" w:rsidRDefault="000F6BE1" w:rsidP="00DA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Сучасні вимоги до уроку </w:t>
            </w:r>
            <w:r w:rsidR="00AA39EA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математики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, забезпечення його ефективності.</w:t>
            </w:r>
          </w:p>
          <w:p w:rsidR="00915F56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Види оцінювання результатів навчання учнів (поточне, </w:t>
            </w:r>
            <w:r w:rsidR="00413E77"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тематичне, 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підсумкове тощо).</w:t>
            </w:r>
          </w:p>
          <w:p w:rsidR="00915F56" w:rsidRPr="005726FD" w:rsidRDefault="00915F56" w:rsidP="00DA73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Методики здійснення</w:t>
            </w:r>
            <w:r w:rsidR="00413E77"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поточного, тематичного та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підсумкового оцінювань.</w:t>
            </w:r>
          </w:p>
          <w:p w:rsidR="00D65B20" w:rsidRPr="005726FD" w:rsidRDefault="00D65B20" w:rsidP="00D65B20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 xml:space="preserve">Інформаційно-цифрова компетентність 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1. Інформаційно-цифрова компетентність. Рамка цифрової компетентності педагога: сучасні критерії вимірювання, напрямки для професійного розвитку й самовдосконалення. Безпечне користування Інтернетом. Завантаження даних з Інтернету. Шкідливе програмне забезпечення та боротьба з ним. Антивірусні та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антишпигунські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програми, налаштування основних параметрів. Педагогічний етикет.  Авторське право. Дотримання юридичних і етичних вимог щодо використання інформаційно-комунікаційних та цифрових технологій у педагогічній діяльності. Критичне оцінювання інформації, отриманої з Інтернету. Поняття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нетикету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. Правила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нетик</w:t>
            </w:r>
            <w:r w:rsidR="00AA39EA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ету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.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2. Зберігання даних та колективна робота з документами в Інтернеті; керування спільним доступом до них. Створення посилань для редагування і перегляду. Хмарні сервіси в професійній діяльності вчителя. Впорядкування цифрових освітніх ресурсів, забезпечення доступності та взаємодії учасників освітнього процесу. 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3. Використання технологій дистанційного навчання для організації відкритого освітнього середовища. Системи керування курсами LMS (англ.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Learning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management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system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) — система управління (англ.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management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system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) навчальною діяльністю, яка використовується для розробки, управління та поширення навчальних онлайн-матеріалів із забезпеченням спільного доступу). Огляд ресурсів для створення віртуального класу. Організація освітнього процесу: планування, наповнення навчальними матеріалами, оцінювання, взаємодія з учнями. Створення G-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suite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для навчального закладу. Можливості ресурсу.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4. Підготовка дистанційного курсу: вибір платформи для проведення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вебінарів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, планування навчального процесу, підготовка сценарію проведення вебінару. Забезпечення інтерактивної взаємодії вчителя та учнів на дистанційному заході.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5. Використання, створення,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проєктування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та поширення цифрових освітніх ресурсів, оцінка їх ефективності для досягнення навчальних цілей. Електронні енциклопедії і бібліотеки, електронні підручники та посібники, інтерактивні презентації. Навчальні додатки з  контентом для доповненої та віртуальної реальності. Програмне забезпечення для опрацювання об’єктів мультимедіа. Засоби перетворення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аудіо-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й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відеоформатів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. Захоплення аудіо й відео, створення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аудіо-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,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відеофрагментів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. Публікування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аудіо-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й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відеоформатів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в Інтернеті.</w:t>
            </w:r>
          </w:p>
          <w:p w:rsidR="00D65B20" w:rsidRPr="005726FD" w:rsidRDefault="00D65B20" w:rsidP="007E422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6. Поточне, підсумкове та формувальне оцінювання засобами Інтернет-сервісів. Підбір критеріїв щодо оцінювання навчальних досягнень учнів закладів загальної середньої освіти, обробка результатів.</w:t>
            </w:r>
          </w:p>
          <w:p w:rsidR="00D65B20" w:rsidRPr="005726FD" w:rsidRDefault="00D65B20" w:rsidP="007E42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uk-UA" w:eastAsia="uk-UA"/>
              </w:rPr>
              <w:t xml:space="preserve">7. </w:t>
            </w: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Цифрове портфоліо педагога. Робота з документами у цифровому форматі. Створення та наповнення портфоліо за допомогою сайту (блогу).</w:t>
            </w:r>
          </w:p>
          <w:p w:rsidR="00A53E3E" w:rsidRPr="005726FD" w:rsidRDefault="00677553" w:rsidP="007E42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Практика</w:t>
            </w:r>
          </w:p>
          <w:p w:rsidR="00CF083A" w:rsidRPr="005726FD" w:rsidRDefault="00915F56" w:rsidP="007E422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F083A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Відвідування уроків, позакласних заходів. Ознайомлення з педагогічними інноваціями у навчально-виховному процесі.  Аналіз структури і організації уроку. Аналіз змісту уроку.</w:t>
            </w:r>
          </w:p>
          <w:p w:rsidR="00753F55" w:rsidRPr="005726FD" w:rsidRDefault="00915F56" w:rsidP="007E4225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753F55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Моделювання 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уроків (фрагментів)</w:t>
            </w:r>
            <w:r w:rsidR="000F6BE1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</w:t>
            </w:r>
            <w:r w:rsidR="00C20B03"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математики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складання технологічної картки уроку.</w:t>
            </w:r>
            <w:r w:rsidR="00753F55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D3741D" w:rsidRPr="005726FD" w:rsidRDefault="00915F56" w:rsidP="00CF083A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="00CF083A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Аналіз методики проведення уроку. Аналіз роботи і поведінки учнів на уроці.</w:t>
            </w:r>
            <w:r w:rsidR="007A7FC8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Оцінка самоаналізу, зробленого </w:t>
            </w:r>
            <w:r w:rsidR="00CF083A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вчителем</w:t>
            </w:r>
            <w:r w:rsidR="00CF083A" w:rsidRPr="005726F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="00CF083A" w:rsidRPr="005726F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CF083A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Загальні висновки. Пропозиції. Самоаналіз уроку.</w:t>
            </w:r>
          </w:p>
          <w:p w:rsidR="00E33CDA" w:rsidRPr="005726FD" w:rsidRDefault="00E33CDA" w:rsidP="00E33CDA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Використання відеозаписів уроків (позакласних занять, виховних заходів) кращих учителів області, України, учасників конкурсу «Учитель року</w:t>
            </w:r>
            <w:r w:rsidRPr="005726FD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en-US"/>
              </w:rPr>
              <w:t>»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. </w:t>
            </w:r>
          </w:p>
          <w:p w:rsidR="00E33CDA" w:rsidRPr="005726FD" w:rsidRDefault="00E33CDA" w:rsidP="00441391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–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>Ознайомлення з передовим педагогічним досвідом вчителів</w:t>
            </w:r>
            <w:r w:rsidR="00441391"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t xml:space="preserve"> математики </w:t>
            </w:r>
            <w:r w:rsidRPr="005726FD">
              <w:rPr>
                <w:rFonts w:ascii="Times New Roman" w:eastAsia="Calibri" w:hAnsi="Times New Roman" w:cs="Times New Roman"/>
                <w:sz w:val="18"/>
                <w:szCs w:val="18"/>
                <w:lang w:val="uk-UA" w:eastAsia="en-US"/>
              </w:rPr>
              <w:lastRenderedPageBreak/>
              <w:t>України та області.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Default="0056245E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14DA6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6</w:t>
            </w: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14DA6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  <w:t>6</w:t>
            </w: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  <w:p w:rsidR="005726FD" w:rsidRDefault="00514DA6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10</w:t>
            </w: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14DA6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  <w:t>2</w:t>
            </w: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uk-UA" w:eastAsia="en-US"/>
              </w:rPr>
            </w:pPr>
          </w:p>
          <w:p w:rsidR="005726FD" w:rsidRPr="005726FD" w:rsidRDefault="005726FD" w:rsidP="0057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uk-UA" w:eastAsia="en-US"/>
              </w:rPr>
            </w:pPr>
          </w:p>
        </w:tc>
      </w:tr>
      <w:tr w:rsidR="00D3741D" w:rsidRPr="005726FD" w:rsidTr="005726F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1D" w:rsidRPr="005726FD" w:rsidRDefault="00D3741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1D" w:rsidRPr="005726FD" w:rsidRDefault="00D31E15" w:rsidP="003117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  <w:t>Тематична конференція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41D" w:rsidRPr="005726FD" w:rsidRDefault="00D3741D" w:rsidP="00D3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2</w:t>
            </w:r>
          </w:p>
        </w:tc>
      </w:tr>
      <w:tr w:rsidR="00514DA6" w:rsidRPr="005726FD" w:rsidTr="00514DA6">
        <w:trPr>
          <w:trHeight w:val="1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A6" w:rsidRPr="005726FD" w:rsidRDefault="00514D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DA6" w:rsidRPr="005726FD" w:rsidRDefault="00514DA6" w:rsidP="00C136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  <w:t>Разом годин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DA6" w:rsidRPr="005726FD" w:rsidRDefault="00514DA6" w:rsidP="00D31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60</w:t>
            </w:r>
          </w:p>
        </w:tc>
      </w:tr>
      <w:tr w:rsidR="0056245E" w:rsidRPr="005726FD" w:rsidTr="00413E77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956A5B" w:rsidP="00956A5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Навчання за програмою </w:t>
            </w:r>
            <w:r w:rsidR="0056245E"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підвищення кваліфікації завершується тематичною </w:t>
            </w:r>
            <w:r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конференцією</w:t>
            </w:r>
            <w:r w:rsidR="0056245E"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 за участю науково-педагогічних працівників та керівників курсів (не більше трьох осіб на одну групу). Тематична </w:t>
            </w:r>
            <w:r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конференція</w:t>
            </w:r>
            <w:r w:rsidR="0056245E"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 передбачає обговорення проблемних питань, результатів навчання, виконання індивідуальних завдань слухачами курсів за змістом загальних та методичних модулів, передбачених навчальною програмою, отримання зворотного зв’язку. </w:t>
            </w:r>
          </w:p>
        </w:tc>
      </w:tr>
      <w:tr w:rsidR="0056245E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5624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Обсяг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C20B03" w:rsidP="00514D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56245E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кредит</w:t>
            </w:r>
            <w:r w:rsidR="00514DA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</w:t>
            </w:r>
            <w:r w:rsidR="0056245E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ЄКТС (</w:t>
            </w: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956A5B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56245E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56245E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год</w:t>
            </w:r>
            <w:proofErr w:type="spellEnd"/>
            <w:r w:rsidR="0056245E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  <w:tr w:rsidR="0056245E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5624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>Форма підвищення кваліфікації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56245E" w:rsidP="00514D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Очн</w:t>
            </w:r>
            <w:r w:rsidR="00514DA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о-</w:t>
            </w:r>
            <w:r w:rsidR="00D3741D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заочна, дистанційна відповідно до формату курсів і робочого навчального плану.</w:t>
            </w:r>
          </w:p>
        </w:tc>
      </w:tr>
      <w:tr w:rsidR="0056245E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514DA6" w:rsidRDefault="00514DA6" w:rsidP="00514D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en-US"/>
              </w:rPr>
            </w:pP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Перелі</w:t>
            </w:r>
            <w:proofErr w:type="gram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компетентностей, </w:t>
            </w: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що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набуваються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/</w:t>
            </w:r>
          </w:p>
          <w:p w:rsidR="0056245E" w:rsidRPr="005726FD" w:rsidRDefault="00514DA6" w:rsidP="00514D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8"/>
                <w:szCs w:val="18"/>
                <w:lang w:val="uk-UA" w:eastAsia="en-US"/>
              </w:rPr>
            </w:pP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удосконалюються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загальні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фахові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тощо</w:t>
            </w:r>
            <w:proofErr w:type="spellEnd"/>
            <w:r w:rsidRPr="00514DA6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8D0" w:rsidRPr="005726FD" w:rsidRDefault="00CE18D0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Загальні</w:t>
            </w:r>
          </w:p>
          <w:p w:rsidR="00CE18D0" w:rsidRPr="005726FD" w:rsidRDefault="00CE18D0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Соціальна</w:t>
            </w:r>
            <w:r w:rsidR="00C956E3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C956E3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взаємодії з іншими в різних соціальних ситуаціях та критичного оцінювання соціальних подій і явищ);</w:t>
            </w:r>
            <w:r w:rsidR="00C956E3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К</w:t>
            </w: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ультура самовираження</w:t>
            </w:r>
            <w:r w:rsidR="00C956E3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995D81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C956E3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суспільстві)</w:t>
            </w:r>
          </w:p>
          <w:p w:rsidR="0056245E" w:rsidRPr="005726FD" w:rsidRDefault="00C10893">
            <w:pPr>
              <w:pStyle w:val="LO-normal"/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Фахові</w:t>
            </w:r>
          </w:p>
          <w:p w:rsidR="00DA7311" w:rsidRPr="005726FD" w:rsidRDefault="001F7761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Мовно-комунікативна</w:t>
            </w:r>
            <w:r w:rsidR="00086C32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086C32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спілкування державною мовою, а також за потреби іноземною мовою під час використання інтернет-ресурсів та</w:t>
            </w:r>
            <w:r w:rsidR="00DB5683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роботи в</w:t>
            </w:r>
            <w:r w:rsidR="00086C32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іншомовних програмних середовищ</w:t>
            </w:r>
            <w:r w:rsidR="00DB5683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ах</w:t>
            </w:r>
            <w:r w:rsidR="00086C32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1F7761" w:rsidRPr="005726FD" w:rsidRDefault="00F740F9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Предметні – математична </w:t>
            </w:r>
            <w:r w:rsidR="001F7761"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</w:t>
            </w:r>
            <w:r w:rsidR="001F7761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використання знань</w:t>
            </w:r>
            <w:r w:rsidR="002745BA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математики </w:t>
            </w:r>
            <w:r w:rsidR="001F7761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освітньому процесі, інтеграції предметних знань з </w:t>
            </w:r>
            <w:r w:rsidR="002745BA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освітніх галузей «Математика» </w:t>
            </w:r>
            <w:r w:rsidR="001F7761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та ін.; здатність до добору й застосування доцільних форм, методів, технологій та засобів навчання на уроках математики);</w:t>
            </w:r>
          </w:p>
          <w:p w:rsidR="002209D1" w:rsidRPr="005726FD" w:rsidRDefault="002209D1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Інформаційно-цифрова</w:t>
            </w: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(здатність орієнтуватися в інформаційному просторі, здійснювати пошук і критично оцінювати інформацію,  оперувати нею у професійній діяльності</w:t>
            </w:r>
            <w:r w:rsidR="00723282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, використовувати відкриті ресурси, інформаційно-комунікаційні та цифрові технології в освітньому процесі);</w:t>
            </w:r>
          </w:p>
          <w:p w:rsidR="00A47BA5" w:rsidRPr="005726FD" w:rsidRDefault="00A47BA5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Психологічна</w:t>
            </w: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(здатність  визначати і враховувати 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освітньому процесі вікові, індивідуальні особливості учнів, сприяти розвитку  їх позитивної самооцінки та формувати мотивацію до пізнавальної діяльності;</w:t>
            </w:r>
          </w:p>
          <w:p w:rsidR="00A47BA5" w:rsidRPr="005726FD" w:rsidRDefault="00A47BA5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Педагогічного партнерства</w:t>
            </w:r>
            <w:r w:rsidR="00872244"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та інклюзивна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(здатність до спілкування з колегами, іншими фахівцями з метою підтримки учнів, до роботі в команді з метою надання додаткової підтримки учням, зокрема особам з особливими освітніми потребами</w:t>
            </w:r>
            <w:r w:rsidR="00872244"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872244"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забезпечення  сприятливих умов </w:t>
            </w:r>
            <w:r w:rsidR="00872244" w:rsidRPr="005726FD"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 xml:space="preserve">для кожного учня, врахування його </w:t>
            </w:r>
            <w:r w:rsidR="00872244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потреб, можливостей, здібностей та інтересів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872244" w:rsidRPr="005726FD" w:rsidRDefault="00872244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Здоров’язбережувальна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5726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="00B03DDC"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датність до здійснення профілактичних заходів щодо збереження життя та здоров’я учнів на уроках математики, </w:t>
            </w:r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 попередження і протидії </w:t>
            </w:r>
            <w:proofErr w:type="spellStart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булінгу</w:t>
            </w:r>
            <w:proofErr w:type="spellEnd"/>
            <w:r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 живому спілкуванні  та в інформаційному </w:t>
            </w:r>
            <w:r w:rsidR="00557B00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середовищі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D65B20" w:rsidRPr="005726FD" w:rsidRDefault="00A65E87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Прогностична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(здатність до планування освітнього процес</w:t>
            </w:r>
            <w:r w:rsidR="00557B00"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72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та прогнозування його результатів)</w:t>
            </w:r>
          </w:p>
          <w:p w:rsidR="008B5BC8" w:rsidRPr="005726FD" w:rsidRDefault="008B5BC8" w:rsidP="00557B00">
            <w:pPr>
              <w:pStyle w:val="LO-normal"/>
              <w:widowControl w:val="0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Здатність до навчання впродовж життя</w:t>
            </w:r>
            <w:r w:rsidR="001B4F4F"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(</w:t>
            </w:r>
            <w:r w:rsidR="001B4F4F" w:rsidRPr="005726FD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визначення умов і ресурсів  професійного розвитку  впродовж життя, здійснення підтримки педагогічних працівників);</w:t>
            </w:r>
          </w:p>
          <w:p w:rsidR="00CE18D0" w:rsidRPr="005726FD" w:rsidRDefault="00CE18D0" w:rsidP="001B4F4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Організаційна</w:t>
            </w:r>
            <w:r w:rsidR="001B4F4F"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(</w:t>
            </w:r>
            <w:r w:rsidR="001B4F4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здатність до організації процесу навчання, виховання та розвитку учнів, різних форм навчальної і пізнавальної діяльності учнів на уроках математики)</w:t>
            </w:r>
          </w:p>
          <w:p w:rsidR="00CE18D0" w:rsidRPr="005726FD" w:rsidRDefault="00CE18D0" w:rsidP="00086C3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>Оцінювальна</w:t>
            </w:r>
            <w:r w:rsidR="0037364C"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та рефлексивна</w:t>
            </w:r>
            <w:r w:rsidR="001B4F4F" w:rsidRPr="005726F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uk-UA"/>
              </w:rPr>
              <w:t xml:space="preserve"> (</w:t>
            </w:r>
            <w:r w:rsidR="001B4F4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здатність до здійснення оцінювання результатів навчання учнів, у тому числі з використанням цифрових технологій</w:t>
            </w:r>
            <w:r w:rsidR="0037364C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, визначення власних професійних потреб</w:t>
            </w:r>
            <w:r w:rsidR="001B4F4F" w:rsidRPr="005726FD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)</w:t>
            </w:r>
          </w:p>
        </w:tc>
      </w:tr>
      <w:tr w:rsidR="0056245E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5624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Строки виконання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45E" w:rsidRPr="005726FD" w:rsidRDefault="0056245E" w:rsidP="007E42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Упродовж </w:t>
            </w:r>
            <w:r w:rsidR="00D3741D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E4225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двох</w:t>
            </w:r>
            <w:r w:rsidR="00D3741D" w:rsidRPr="005726F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тижнів відповідно до плану-графіку</w:t>
            </w:r>
          </w:p>
        </w:tc>
      </w:tr>
      <w:tr w:rsidR="00514DA6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5726FD" w:rsidRDefault="00514DA6" w:rsidP="00514D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bookmarkStart w:id="0" w:name="_GoBack" w:colFirst="1" w:colLast="1"/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Місце виконання програми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EF0216" w:rsidRDefault="00514DA6" w:rsidP="00514D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Перелі</w:t>
            </w:r>
            <w:proofErr w:type="gram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компетентностей,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що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набуваються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/</w:t>
            </w:r>
          </w:p>
        </w:tc>
      </w:tr>
      <w:tr w:rsidR="00514DA6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5726FD" w:rsidRDefault="00514DA6" w:rsidP="00514D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Вартість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Default="00514DA6" w:rsidP="00514DA6"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удосконалюються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загальні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фахові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тощо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514DA6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5726FD" w:rsidRDefault="00514DA6" w:rsidP="00514D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Графік освітнього процесу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EF0216" w:rsidRDefault="00514DA6" w:rsidP="00514D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Перелі</w:t>
            </w:r>
            <w:proofErr w:type="gram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</w:t>
            </w:r>
            <w:proofErr w:type="spellEnd"/>
            <w:proofErr w:type="gram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компетентностей,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що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набуваються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/</w:t>
            </w:r>
          </w:p>
        </w:tc>
      </w:tr>
      <w:tr w:rsidR="00514DA6" w:rsidRPr="005726FD" w:rsidTr="005726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Pr="005726FD" w:rsidRDefault="00514DA6" w:rsidP="00514DA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5726F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Документ, що видається за результатами підвищення кваліфікації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A6" w:rsidRDefault="00514DA6" w:rsidP="00514DA6"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удосконалюються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загальні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фахові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тощо</w:t>
            </w:r>
            <w:proofErr w:type="spellEnd"/>
            <w:r w:rsidRPr="00EF0216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)</w:t>
            </w:r>
          </w:p>
        </w:tc>
      </w:tr>
      <w:bookmarkEnd w:id="0"/>
    </w:tbl>
    <w:p w:rsidR="000F6BE1" w:rsidRPr="005726FD" w:rsidRDefault="000F6BE1" w:rsidP="00677553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915F56" w:rsidRPr="005726FD" w:rsidRDefault="00915F56" w:rsidP="00915F56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403D1E" w:rsidRPr="005726FD" w:rsidRDefault="00403D1E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403D1E" w:rsidRPr="005726FD" w:rsidSect="00C37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EB2"/>
    <w:multiLevelType w:val="hybridMultilevel"/>
    <w:tmpl w:val="81ECC6FE"/>
    <w:lvl w:ilvl="0" w:tplc="ABAEC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08B"/>
    <w:multiLevelType w:val="hybridMultilevel"/>
    <w:tmpl w:val="811689DE"/>
    <w:lvl w:ilvl="0" w:tplc="C0806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C10A2"/>
    <w:multiLevelType w:val="hybridMultilevel"/>
    <w:tmpl w:val="B90A473C"/>
    <w:lvl w:ilvl="0" w:tplc="5C189A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A287D"/>
    <w:multiLevelType w:val="singleLevel"/>
    <w:tmpl w:val="8C3AFF68"/>
    <w:lvl w:ilvl="0">
      <w:start w:val="2003"/>
      <w:numFmt w:val="bullet"/>
      <w:lvlText w:val="–"/>
      <w:lvlJc w:val="left"/>
      <w:pPr>
        <w:tabs>
          <w:tab w:val="num" w:pos="700"/>
        </w:tabs>
        <w:ind w:left="624" w:hanging="284"/>
      </w:pPr>
    </w:lvl>
  </w:abstractNum>
  <w:abstractNum w:abstractNumId="4">
    <w:nsid w:val="2A942145"/>
    <w:multiLevelType w:val="hybridMultilevel"/>
    <w:tmpl w:val="036455C0"/>
    <w:lvl w:ilvl="0" w:tplc="00E846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0F5E"/>
    <w:multiLevelType w:val="hybridMultilevel"/>
    <w:tmpl w:val="074075D8"/>
    <w:lvl w:ilvl="0" w:tplc="76843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77064"/>
    <w:multiLevelType w:val="hybridMultilevel"/>
    <w:tmpl w:val="FB1E7074"/>
    <w:lvl w:ilvl="0" w:tplc="DBAA85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467CE"/>
    <w:multiLevelType w:val="hybridMultilevel"/>
    <w:tmpl w:val="2A06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3D49"/>
    <w:multiLevelType w:val="hybridMultilevel"/>
    <w:tmpl w:val="398059EA"/>
    <w:lvl w:ilvl="0" w:tplc="EE4ED768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95A71"/>
    <w:multiLevelType w:val="hybridMultilevel"/>
    <w:tmpl w:val="4956EE80"/>
    <w:lvl w:ilvl="0" w:tplc="ECDA1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E20C9"/>
    <w:multiLevelType w:val="multilevel"/>
    <w:tmpl w:val="FE1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2C69EF"/>
    <w:multiLevelType w:val="hybridMultilevel"/>
    <w:tmpl w:val="C9BA6F12"/>
    <w:lvl w:ilvl="0" w:tplc="7F405CDC">
      <w:start w:val="2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72467"/>
    <w:multiLevelType w:val="hybridMultilevel"/>
    <w:tmpl w:val="9ED8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FE3EBB"/>
    <w:multiLevelType w:val="hybridMultilevel"/>
    <w:tmpl w:val="F38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BE0E72"/>
    <w:multiLevelType w:val="hybridMultilevel"/>
    <w:tmpl w:val="F6BE59C6"/>
    <w:lvl w:ilvl="0" w:tplc="A61ABAC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B1DF5"/>
    <w:multiLevelType w:val="hybridMultilevel"/>
    <w:tmpl w:val="AC886ABE"/>
    <w:lvl w:ilvl="0" w:tplc="273A30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9F08C8"/>
    <w:multiLevelType w:val="hybridMultilevel"/>
    <w:tmpl w:val="DAE2C168"/>
    <w:lvl w:ilvl="0" w:tplc="076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62877"/>
    <w:multiLevelType w:val="hybridMultilevel"/>
    <w:tmpl w:val="5A0E2EB0"/>
    <w:lvl w:ilvl="0" w:tplc="89BA1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5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10"/>
  </w:num>
  <w:num w:numId="11">
    <w:abstractNumId w:val="4"/>
  </w:num>
  <w:num w:numId="12">
    <w:abstractNumId w:val="17"/>
  </w:num>
  <w:num w:numId="13">
    <w:abstractNumId w:val="1"/>
  </w:num>
  <w:num w:numId="14">
    <w:abstractNumId w:val="8"/>
  </w:num>
  <w:num w:numId="15">
    <w:abstractNumId w:val="16"/>
  </w:num>
  <w:num w:numId="16">
    <w:abstractNumId w:val="6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C2"/>
    <w:rsid w:val="00004060"/>
    <w:rsid w:val="0004355D"/>
    <w:rsid w:val="00044182"/>
    <w:rsid w:val="0006022B"/>
    <w:rsid w:val="00086C32"/>
    <w:rsid w:val="00096F15"/>
    <w:rsid w:val="000E59C2"/>
    <w:rsid w:val="000F6BE1"/>
    <w:rsid w:val="001105D8"/>
    <w:rsid w:val="00111899"/>
    <w:rsid w:val="00124CF9"/>
    <w:rsid w:val="0014581F"/>
    <w:rsid w:val="001504AF"/>
    <w:rsid w:val="001530B9"/>
    <w:rsid w:val="001A2CE1"/>
    <w:rsid w:val="001B421C"/>
    <w:rsid w:val="001B4F4F"/>
    <w:rsid w:val="001F2991"/>
    <w:rsid w:val="001F7761"/>
    <w:rsid w:val="002209D1"/>
    <w:rsid w:val="002316CF"/>
    <w:rsid w:val="00267629"/>
    <w:rsid w:val="002745BA"/>
    <w:rsid w:val="002B67F1"/>
    <w:rsid w:val="00304E32"/>
    <w:rsid w:val="0031175F"/>
    <w:rsid w:val="00312131"/>
    <w:rsid w:val="00317102"/>
    <w:rsid w:val="003202BE"/>
    <w:rsid w:val="00350345"/>
    <w:rsid w:val="0037364C"/>
    <w:rsid w:val="003B242E"/>
    <w:rsid w:val="003B375C"/>
    <w:rsid w:val="00403D1E"/>
    <w:rsid w:val="004074E6"/>
    <w:rsid w:val="00413E77"/>
    <w:rsid w:val="00441391"/>
    <w:rsid w:val="004603C1"/>
    <w:rsid w:val="00481C63"/>
    <w:rsid w:val="00495AAE"/>
    <w:rsid w:val="004A19C4"/>
    <w:rsid w:val="004A60BC"/>
    <w:rsid w:val="004C74E6"/>
    <w:rsid w:val="004D6EB4"/>
    <w:rsid w:val="004E46FF"/>
    <w:rsid w:val="00512C18"/>
    <w:rsid w:val="00514DA6"/>
    <w:rsid w:val="00557B00"/>
    <w:rsid w:val="0056245E"/>
    <w:rsid w:val="00571F30"/>
    <w:rsid w:val="005726FD"/>
    <w:rsid w:val="00573FEF"/>
    <w:rsid w:val="005B5C08"/>
    <w:rsid w:val="005B64D1"/>
    <w:rsid w:val="005C1E19"/>
    <w:rsid w:val="005F05CE"/>
    <w:rsid w:val="006606D6"/>
    <w:rsid w:val="006651E1"/>
    <w:rsid w:val="0067265F"/>
    <w:rsid w:val="00677553"/>
    <w:rsid w:val="0069376F"/>
    <w:rsid w:val="00693BBA"/>
    <w:rsid w:val="006D0B3D"/>
    <w:rsid w:val="006E33F6"/>
    <w:rsid w:val="007106B2"/>
    <w:rsid w:val="00723282"/>
    <w:rsid w:val="00730BC8"/>
    <w:rsid w:val="00753F55"/>
    <w:rsid w:val="00766FCE"/>
    <w:rsid w:val="00790FB7"/>
    <w:rsid w:val="007A7FC8"/>
    <w:rsid w:val="007B03D5"/>
    <w:rsid w:val="007B4158"/>
    <w:rsid w:val="007E4225"/>
    <w:rsid w:val="007E70C3"/>
    <w:rsid w:val="00812D9B"/>
    <w:rsid w:val="008225DA"/>
    <w:rsid w:val="00872244"/>
    <w:rsid w:val="0088318D"/>
    <w:rsid w:val="00883D23"/>
    <w:rsid w:val="008B11D2"/>
    <w:rsid w:val="008B5BC8"/>
    <w:rsid w:val="008C1645"/>
    <w:rsid w:val="008C6D8B"/>
    <w:rsid w:val="008D68FC"/>
    <w:rsid w:val="008E2DE4"/>
    <w:rsid w:val="008E7AFE"/>
    <w:rsid w:val="0091516C"/>
    <w:rsid w:val="00915F56"/>
    <w:rsid w:val="00952399"/>
    <w:rsid w:val="00956A5B"/>
    <w:rsid w:val="00962569"/>
    <w:rsid w:val="00995D81"/>
    <w:rsid w:val="009C60F2"/>
    <w:rsid w:val="009E1DDF"/>
    <w:rsid w:val="009E234A"/>
    <w:rsid w:val="00A027C7"/>
    <w:rsid w:val="00A13EBE"/>
    <w:rsid w:val="00A47BA5"/>
    <w:rsid w:val="00A5089E"/>
    <w:rsid w:val="00A5310B"/>
    <w:rsid w:val="00A53E3E"/>
    <w:rsid w:val="00A6517B"/>
    <w:rsid w:val="00A65E87"/>
    <w:rsid w:val="00AA33CE"/>
    <w:rsid w:val="00AA39EA"/>
    <w:rsid w:val="00AE11BC"/>
    <w:rsid w:val="00AE1F6C"/>
    <w:rsid w:val="00B03DDC"/>
    <w:rsid w:val="00B052D9"/>
    <w:rsid w:val="00B215A6"/>
    <w:rsid w:val="00B55092"/>
    <w:rsid w:val="00B67A3C"/>
    <w:rsid w:val="00B756D3"/>
    <w:rsid w:val="00B86C2E"/>
    <w:rsid w:val="00BD3965"/>
    <w:rsid w:val="00BE4EBC"/>
    <w:rsid w:val="00BE5034"/>
    <w:rsid w:val="00C10893"/>
    <w:rsid w:val="00C20B03"/>
    <w:rsid w:val="00C25FEB"/>
    <w:rsid w:val="00C37EFD"/>
    <w:rsid w:val="00C46183"/>
    <w:rsid w:val="00C5611F"/>
    <w:rsid w:val="00C633EA"/>
    <w:rsid w:val="00C910D6"/>
    <w:rsid w:val="00C956E3"/>
    <w:rsid w:val="00CC0BC8"/>
    <w:rsid w:val="00CC42A7"/>
    <w:rsid w:val="00CE18D0"/>
    <w:rsid w:val="00CF083A"/>
    <w:rsid w:val="00CF628D"/>
    <w:rsid w:val="00D277A4"/>
    <w:rsid w:val="00D31E15"/>
    <w:rsid w:val="00D34856"/>
    <w:rsid w:val="00D3741D"/>
    <w:rsid w:val="00D51B9E"/>
    <w:rsid w:val="00D62F92"/>
    <w:rsid w:val="00D65564"/>
    <w:rsid w:val="00D65B20"/>
    <w:rsid w:val="00DA664C"/>
    <w:rsid w:val="00DA700C"/>
    <w:rsid w:val="00DA7311"/>
    <w:rsid w:val="00DB5683"/>
    <w:rsid w:val="00DC4926"/>
    <w:rsid w:val="00DD4F41"/>
    <w:rsid w:val="00DD5B7E"/>
    <w:rsid w:val="00DE1439"/>
    <w:rsid w:val="00E16B84"/>
    <w:rsid w:val="00E33CDA"/>
    <w:rsid w:val="00EC2917"/>
    <w:rsid w:val="00EC64BF"/>
    <w:rsid w:val="00ED0F0E"/>
    <w:rsid w:val="00F05645"/>
    <w:rsid w:val="00F5359F"/>
    <w:rsid w:val="00F56AEA"/>
    <w:rsid w:val="00F57C75"/>
    <w:rsid w:val="00F73B22"/>
    <w:rsid w:val="00F740F9"/>
    <w:rsid w:val="00F75A9A"/>
    <w:rsid w:val="00FD1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7E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O-normal">
    <w:name w:val="LO-normal"/>
    <w:rsid w:val="000E59C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uk-UA" w:eastAsia="zh-CN"/>
    </w:rPr>
  </w:style>
  <w:style w:type="paragraph" w:customStyle="1" w:styleId="11">
    <w:name w:val="Заголовок 11"/>
    <w:basedOn w:val="a0"/>
    <w:qFormat/>
    <w:rsid w:val="00812D9B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zh-CN" w:bidi="uk-UA"/>
    </w:rPr>
  </w:style>
  <w:style w:type="paragraph" w:customStyle="1" w:styleId="TableParagraph">
    <w:name w:val="Table Paragraph"/>
    <w:basedOn w:val="a0"/>
    <w:uiPriority w:val="1"/>
    <w:qFormat/>
    <w:rsid w:val="00812D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">
    <w:name w:val="Звичайний1"/>
    <w:rsid w:val="00812D9B"/>
    <w:pPr>
      <w:spacing w:after="0" w:line="240" w:lineRule="auto"/>
    </w:pPr>
    <w:rPr>
      <w:rFonts w:ascii="Arial" w:eastAsia="Arial" w:hAnsi="Arial" w:cs="Arial"/>
      <w:sz w:val="20"/>
      <w:szCs w:val="20"/>
      <w:lang w:val="uk-UA" w:eastAsia="uk-UA"/>
    </w:rPr>
  </w:style>
  <w:style w:type="paragraph" w:styleId="a4">
    <w:name w:val="List Paragraph"/>
    <w:basedOn w:val="a0"/>
    <w:uiPriority w:val="34"/>
    <w:qFormat/>
    <w:rsid w:val="00A53E3E"/>
    <w:pPr>
      <w:ind w:left="720"/>
      <w:contextualSpacing/>
    </w:pPr>
  </w:style>
  <w:style w:type="paragraph" w:styleId="a">
    <w:name w:val="List Bullet"/>
    <w:basedOn w:val="a0"/>
    <w:autoRedefine/>
    <w:rsid w:val="00CF083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7E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LO-normal">
    <w:name w:val="LO-normal"/>
    <w:rsid w:val="000E59C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uk-UA" w:eastAsia="zh-CN"/>
    </w:rPr>
  </w:style>
  <w:style w:type="paragraph" w:customStyle="1" w:styleId="11">
    <w:name w:val="Заголовок 11"/>
    <w:basedOn w:val="a0"/>
    <w:qFormat/>
    <w:rsid w:val="00812D9B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zh-CN" w:bidi="uk-UA"/>
    </w:rPr>
  </w:style>
  <w:style w:type="paragraph" w:customStyle="1" w:styleId="TableParagraph">
    <w:name w:val="Table Paragraph"/>
    <w:basedOn w:val="a0"/>
    <w:uiPriority w:val="1"/>
    <w:qFormat/>
    <w:rsid w:val="00812D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">
    <w:name w:val="Звичайний1"/>
    <w:rsid w:val="00812D9B"/>
    <w:pPr>
      <w:spacing w:after="0" w:line="240" w:lineRule="auto"/>
    </w:pPr>
    <w:rPr>
      <w:rFonts w:ascii="Arial" w:eastAsia="Arial" w:hAnsi="Arial" w:cs="Arial"/>
      <w:sz w:val="20"/>
      <w:szCs w:val="20"/>
      <w:lang w:val="uk-UA" w:eastAsia="uk-UA"/>
    </w:rPr>
  </w:style>
  <w:style w:type="paragraph" w:styleId="a4">
    <w:name w:val="List Paragraph"/>
    <w:basedOn w:val="a0"/>
    <w:uiPriority w:val="34"/>
    <w:qFormat/>
    <w:rsid w:val="00A53E3E"/>
    <w:pPr>
      <w:ind w:left="720"/>
      <w:contextualSpacing/>
    </w:pPr>
  </w:style>
  <w:style w:type="paragraph" w:styleId="a">
    <w:name w:val="List Bullet"/>
    <w:basedOn w:val="a0"/>
    <w:autoRedefine/>
    <w:rsid w:val="00CF083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759E-17B1-4D38-B690-2B14F6ED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7226</Words>
  <Characters>4119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2</cp:revision>
  <dcterms:created xsi:type="dcterms:W3CDTF">2021-06-13T11:23:00Z</dcterms:created>
  <dcterms:modified xsi:type="dcterms:W3CDTF">2021-06-13T11:23:00Z</dcterms:modified>
</cp:coreProperties>
</file>