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036"/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567"/>
        <w:gridCol w:w="143"/>
        <w:gridCol w:w="6378"/>
        <w:gridCol w:w="1176"/>
        <w:gridCol w:w="9"/>
      </w:tblGrid>
      <w:tr w:rsidR="00ED4EC6" w:rsidRPr="002E5736" w:rsidTr="002E5736">
        <w:tc>
          <w:tcPr>
            <w:tcW w:w="103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4EC6" w:rsidRPr="002E5736" w:rsidRDefault="00ED4EC6" w:rsidP="000F6E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5736">
              <w:rPr>
                <w:rFonts w:ascii="Times New Roman" w:hAnsi="Times New Roman"/>
                <w:b/>
                <w:sz w:val="18"/>
                <w:szCs w:val="18"/>
              </w:rPr>
              <w:t>Опис</w:t>
            </w:r>
            <w:r w:rsidR="002E5736" w:rsidRPr="002E5736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hAnsi="Times New Roman"/>
                <w:b/>
                <w:sz w:val="18"/>
                <w:szCs w:val="18"/>
              </w:rPr>
              <w:t>програми підвищення</w:t>
            </w:r>
            <w:r w:rsidR="002E5736" w:rsidRPr="002E5736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hAnsi="Times New Roman"/>
                <w:b/>
                <w:sz w:val="18"/>
                <w:szCs w:val="18"/>
              </w:rPr>
              <w:t>кваліфікації вчителів зарубіжної літератури</w:t>
            </w:r>
          </w:p>
          <w:p w:rsidR="00ED4EC6" w:rsidRPr="002E5736" w:rsidRDefault="00ED4EC6" w:rsidP="000F6EEC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</w:tr>
      <w:tr w:rsidR="00ED4EC6" w:rsidRPr="00D473E3" w:rsidTr="000F6EEC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C6" w:rsidRPr="002E5736" w:rsidRDefault="00ED4EC6" w:rsidP="000F6EE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2E5736">
              <w:rPr>
                <w:rFonts w:ascii="Times New Roman" w:hAnsi="Times New Roman"/>
                <w:b/>
                <w:sz w:val="18"/>
                <w:szCs w:val="18"/>
              </w:rPr>
              <w:t>Найменування програми</w:t>
            </w:r>
          </w:p>
        </w:tc>
        <w:tc>
          <w:tcPr>
            <w:tcW w:w="8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C6" w:rsidRPr="002E5736" w:rsidRDefault="00ED4EC6" w:rsidP="000F6EEC">
            <w:pPr>
              <w:pStyle w:val="11"/>
              <w:ind w:left="0"/>
              <w:rPr>
                <w:b w:val="0"/>
                <w:sz w:val="18"/>
                <w:szCs w:val="18"/>
              </w:rPr>
            </w:pPr>
            <w:r w:rsidRPr="002E5736">
              <w:rPr>
                <w:b w:val="0"/>
                <w:sz w:val="18"/>
                <w:szCs w:val="18"/>
              </w:rPr>
              <w:t>Програма підвищення кваліфікації вчителів зарубіжної літератури</w:t>
            </w:r>
          </w:p>
        </w:tc>
      </w:tr>
      <w:tr w:rsidR="00ED4EC6" w:rsidRPr="002E5736" w:rsidTr="000F6EEC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C6" w:rsidRPr="002E5736" w:rsidRDefault="00ED4EC6" w:rsidP="000F6EE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2E5736">
              <w:rPr>
                <w:rFonts w:ascii="Times New Roman" w:hAnsi="Times New Roman"/>
                <w:b/>
                <w:sz w:val="18"/>
                <w:szCs w:val="18"/>
              </w:rPr>
              <w:t>Мета програми</w:t>
            </w:r>
          </w:p>
        </w:tc>
        <w:tc>
          <w:tcPr>
            <w:tcW w:w="8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C6" w:rsidRPr="002E5736" w:rsidRDefault="00ED4EC6" w:rsidP="000F6EE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E5736">
              <w:rPr>
                <w:rFonts w:ascii="Times New Roman" w:hAnsi="Times New Roman"/>
                <w:sz w:val="18"/>
                <w:szCs w:val="18"/>
              </w:rPr>
              <w:t xml:space="preserve">Удосконалення ключових </w:t>
            </w:r>
            <w:proofErr w:type="spellStart"/>
            <w:r w:rsidRPr="002E5736">
              <w:rPr>
                <w:rFonts w:ascii="Times New Roman" w:hAnsi="Times New Roman"/>
                <w:sz w:val="18"/>
                <w:szCs w:val="18"/>
              </w:rPr>
              <w:t>компетентностей</w:t>
            </w:r>
            <w:proofErr w:type="spellEnd"/>
            <w:r w:rsidRPr="002E5736">
              <w:rPr>
                <w:rFonts w:ascii="Times New Roman" w:hAnsi="Times New Roman"/>
                <w:sz w:val="18"/>
                <w:szCs w:val="18"/>
              </w:rPr>
              <w:t xml:space="preserve"> в межах професійної діяльності з урахуванням вимог професійного стандарту та стандарту освіти у галузі  «Мови та літератури»</w:t>
            </w:r>
          </w:p>
        </w:tc>
      </w:tr>
      <w:tr w:rsidR="00ED4EC6" w:rsidRPr="00D473E3" w:rsidTr="000F6EEC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C6" w:rsidRPr="002E5736" w:rsidRDefault="00ED4EC6" w:rsidP="000F6EE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2E5736">
              <w:rPr>
                <w:rFonts w:ascii="Times New Roman" w:hAnsi="Times New Roman"/>
                <w:b/>
                <w:sz w:val="18"/>
                <w:szCs w:val="18"/>
              </w:rPr>
              <w:t>Напрям програми</w:t>
            </w:r>
          </w:p>
        </w:tc>
        <w:tc>
          <w:tcPr>
            <w:tcW w:w="8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C6" w:rsidRPr="002E5736" w:rsidRDefault="00ED4EC6" w:rsidP="006B3C1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E5736">
              <w:rPr>
                <w:rFonts w:ascii="Times New Roman" w:hAnsi="Times New Roman"/>
                <w:sz w:val="18"/>
                <w:szCs w:val="18"/>
              </w:rPr>
              <w:t>Підвищення кваліфікаці</w:t>
            </w:r>
            <w:r w:rsidR="006B3C1B">
              <w:rPr>
                <w:rFonts w:ascii="Times New Roman" w:hAnsi="Times New Roman"/>
                <w:sz w:val="18"/>
                <w:szCs w:val="18"/>
              </w:rPr>
              <w:t>ї фахівців зі спеціальності 014.02</w:t>
            </w:r>
            <w:r w:rsidRPr="002E573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B3C1B">
              <w:rPr>
                <w:rFonts w:ascii="Times New Roman" w:hAnsi="Times New Roman"/>
                <w:sz w:val="18"/>
                <w:szCs w:val="18"/>
              </w:rPr>
              <w:t>Середня освіта (Мова і література)</w:t>
            </w:r>
          </w:p>
        </w:tc>
      </w:tr>
      <w:tr w:rsidR="00ED4EC6" w:rsidRPr="002E5736" w:rsidTr="000F6EEC">
        <w:trPr>
          <w:gridAfter w:val="1"/>
          <w:wAfter w:w="9" w:type="dxa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C6" w:rsidRPr="002E5736" w:rsidRDefault="00ED4EC6" w:rsidP="000F6EE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2E5736">
              <w:rPr>
                <w:rFonts w:ascii="Times New Roman" w:hAnsi="Times New Roman"/>
                <w:b/>
                <w:sz w:val="18"/>
                <w:szCs w:val="18"/>
              </w:rPr>
              <w:t>Зміст</w:t>
            </w:r>
            <w:r w:rsidR="00AA7AF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hAnsi="Times New Roman"/>
                <w:b/>
                <w:sz w:val="18"/>
                <w:szCs w:val="18"/>
              </w:rPr>
              <w:t>програми</w:t>
            </w:r>
          </w:p>
        </w:tc>
        <w:tc>
          <w:tcPr>
            <w:tcW w:w="8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C6" w:rsidRPr="002E5736" w:rsidRDefault="00ED4EC6" w:rsidP="000F6E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2E5736">
              <w:rPr>
                <w:rFonts w:ascii="Times New Roman" w:hAnsi="Times New Roman"/>
                <w:b/>
                <w:sz w:val="18"/>
                <w:szCs w:val="18"/>
              </w:rPr>
              <w:t>Навчальні</w:t>
            </w:r>
            <w:r w:rsidR="002E5736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hAnsi="Times New Roman"/>
                <w:b/>
                <w:sz w:val="18"/>
                <w:szCs w:val="18"/>
              </w:rPr>
              <w:t>модулі для конструювання</w:t>
            </w:r>
            <w:r w:rsidR="002E5736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hAnsi="Times New Roman"/>
                <w:b/>
                <w:sz w:val="18"/>
                <w:szCs w:val="18"/>
              </w:rPr>
              <w:t>освітньої</w:t>
            </w:r>
            <w:r w:rsidR="002E5736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hAnsi="Times New Roman"/>
                <w:b/>
                <w:sz w:val="18"/>
                <w:szCs w:val="18"/>
              </w:rPr>
              <w:t>програми</w:t>
            </w:r>
          </w:p>
        </w:tc>
      </w:tr>
      <w:tr w:rsidR="00ED4EC6" w:rsidRPr="002E5736" w:rsidTr="000F6EEC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EC6" w:rsidRPr="002E5736" w:rsidRDefault="00ED4EC6" w:rsidP="000F6E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C6" w:rsidRPr="002E5736" w:rsidRDefault="00ED4EC6" w:rsidP="000F6E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2E5736">
              <w:rPr>
                <w:rFonts w:ascii="Times New Roman" w:hAnsi="Times New Roman"/>
                <w:b/>
                <w:sz w:val="18"/>
                <w:szCs w:val="18"/>
              </w:rPr>
              <w:t>№ з/п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C6" w:rsidRPr="002E5736" w:rsidRDefault="00ED4EC6" w:rsidP="000F6E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2E5736">
              <w:rPr>
                <w:rFonts w:ascii="Times New Roman" w:hAnsi="Times New Roman"/>
                <w:b/>
                <w:sz w:val="18"/>
                <w:szCs w:val="18"/>
              </w:rPr>
              <w:t>Назва модуля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C6" w:rsidRPr="002E5736" w:rsidRDefault="00ED4EC6" w:rsidP="000F6E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eastAsia="en-US"/>
              </w:rPr>
            </w:pPr>
            <w:r w:rsidRPr="002E5736">
              <w:rPr>
                <w:rFonts w:ascii="Times New Roman" w:hAnsi="Times New Roman"/>
                <w:b/>
                <w:sz w:val="18"/>
                <w:szCs w:val="18"/>
              </w:rPr>
              <w:t>К-сть год у модулі</w:t>
            </w:r>
          </w:p>
        </w:tc>
      </w:tr>
      <w:tr w:rsidR="00ED4EC6" w:rsidRPr="002E5736" w:rsidTr="000F6EEC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EC6" w:rsidRPr="002E5736" w:rsidRDefault="00ED4EC6" w:rsidP="000F6E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C6" w:rsidRPr="002E5736" w:rsidRDefault="00ED4EC6" w:rsidP="000F6E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E573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C6" w:rsidRPr="002E5736" w:rsidRDefault="00ED4EC6" w:rsidP="000F6EEC">
            <w:pPr>
              <w:pStyle w:val="TableParagraph"/>
              <w:tabs>
                <w:tab w:val="left" w:pos="326"/>
              </w:tabs>
              <w:ind w:left="35"/>
              <w:jc w:val="both"/>
              <w:rPr>
                <w:b/>
                <w:sz w:val="18"/>
                <w:szCs w:val="18"/>
                <w:lang w:val="uk-UA"/>
              </w:rPr>
            </w:pPr>
            <w:r w:rsidRPr="002E5736">
              <w:rPr>
                <w:b/>
                <w:sz w:val="18"/>
                <w:szCs w:val="18"/>
                <w:lang w:val="uk-UA"/>
              </w:rPr>
              <w:t xml:space="preserve">Модуль 1. Світоглядні основи професійного розвитку педагога. </w:t>
            </w:r>
          </w:p>
          <w:p w:rsidR="00ED4EC6" w:rsidRPr="002E5736" w:rsidRDefault="00ED4EC6" w:rsidP="000F6EEC">
            <w:pPr>
              <w:pStyle w:val="TableParagraph"/>
              <w:tabs>
                <w:tab w:val="left" w:pos="326"/>
              </w:tabs>
              <w:ind w:left="35"/>
              <w:jc w:val="both"/>
              <w:rPr>
                <w:sz w:val="18"/>
                <w:szCs w:val="18"/>
                <w:lang w:val="uk-UA"/>
              </w:rPr>
            </w:pPr>
            <w:r w:rsidRPr="002E5736">
              <w:rPr>
                <w:b/>
                <w:sz w:val="18"/>
                <w:szCs w:val="18"/>
                <w:lang w:val="uk-UA"/>
              </w:rPr>
              <w:t>Змістовні лінії:</w:t>
            </w:r>
          </w:p>
          <w:p w:rsidR="00ED4EC6" w:rsidRPr="002E5736" w:rsidRDefault="00ED4EC6" w:rsidP="000F6EEC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  <w:tab w:val="left" w:pos="506"/>
              </w:tabs>
              <w:ind w:left="35" w:firstLine="0"/>
              <w:jc w:val="both"/>
              <w:rPr>
                <w:sz w:val="18"/>
                <w:szCs w:val="18"/>
                <w:lang w:val="uk-UA"/>
              </w:rPr>
            </w:pPr>
            <w:r w:rsidRPr="002E5736">
              <w:rPr>
                <w:sz w:val="18"/>
                <w:szCs w:val="18"/>
                <w:lang w:val="uk-UA"/>
              </w:rPr>
              <w:t xml:space="preserve">Державна стратегія розвитку освіти. «Законодавче забезпечення системи освіти та професійного розвитку педагога в Україні. </w:t>
            </w:r>
          </w:p>
          <w:p w:rsidR="00ED4EC6" w:rsidRPr="002E5736" w:rsidRDefault="00ED4EC6" w:rsidP="000F6EEC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  <w:tab w:val="left" w:pos="506"/>
              </w:tabs>
              <w:ind w:left="35" w:firstLine="0"/>
              <w:jc w:val="both"/>
              <w:rPr>
                <w:sz w:val="18"/>
                <w:szCs w:val="18"/>
                <w:lang w:val="uk-UA"/>
              </w:rPr>
            </w:pPr>
            <w:r w:rsidRPr="002E5736">
              <w:rPr>
                <w:sz w:val="18"/>
                <w:szCs w:val="18"/>
                <w:lang w:val="uk-UA"/>
              </w:rPr>
              <w:t>Здорове і безпечне середовище закладу освіти – складова професійного благополуччя і розвитку.</w:t>
            </w:r>
          </w:p>
          <w:p w:rsidR="00ED4EC6" w:rsidRPr="002E5736" w:rsidRDefault="00ED4EC6" w:rsidP="000F6EEC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  <w:tab w:val="left" w:pos="506"/>
              </w:tabs>
              <w:ind w:left="35" w:firstLine="0"/>
              <w:jc w:val="both"/>
              <w:rPr>
                <w:b/>
                <w:sz w:val="18"/>
                <w:szCs w:val="18"/>
                <w:lang w:val="ru-RU"/>
              </w:rPr>
            </w:pPr>
            <w:r w:rsidRPr="002E5736">
              <w:rPr>
                <w:sz w:val="18"/>
                <w:szCs w:val="18"/>
                <w:lang w:val="uk-UA"/>
              </w:rPr>
              <w:t>Ціннісні та діяльнісні засади професійного розвитку педагога.</w:t>
            </w:r>
          </w:p>
          <w:p w:rsidR="00ED4EC6" w:rsidRPr="002E5736" w:rsidRDefault="00ED4EC6" w:rsidP="000F6EEC">
            <w:pPr>
              <w:pStyle w:val="a3"/>
              <w:numPr>
                <w:ilvl w:val="0"/>
                <w:numId w:val="1"/>
              </w:numPr>
              <w:tabs>
                <w:tab w:val="left" w:pos="326"/>
                <w:tab w:val="left" w:pos="506"/>
              </w:tabs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5736">
              <w:rPr>
                <w:rFonts w:ascii="Times New Roman" w:hAnsi="Times New Roman" w:cs="Times New Roman"/>
                <w:sz w:val="18"/>
                <w:szCs w:val="18"/>
              </w:rPr>
              <w:t>Мовленнєва</w:t>
            </w:r>
            <w:r w:rsidR="006B3C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hAnsi="Times New Roman" w:cs="Times New Roman"/>
                <w:sz w:val="18"/>
                <w:szCs w:val="18"/>
              </w:rPr>
              <w:t>компетентність педагога.</w:t>
            </w:r>
          </w:p>
          <w:p w:rsidR="00ED4EC6" w:rsidRPr="002E5736" w:rsidRDefault="00ED4EC6" w:rsidP="000F6EEC">
            <w:pPr>
              <w:pStyle w:val="a3"/>
              <w:numPr>
                <w:ilvl w:val="0"/>
                <w:numId w:val="1"/>
              </w:numPr>
              <w:tabs>
                <w:tab w:val="left" w:pos="326"/>
                <w:tab w:val="left" w:pos="506"/>
              </w:tabs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5736">
              <w:rPr>
                <w:rFonts w:ascii="Times New Roman" w:hAnsi="Times New Roman"/>
                <w:bCs/>
                <w:sz w:val="18"/>
                <w:szCs w:val="18"/>
              </w:rPr>
              <w:t>Інфомедійна</w:t>
            </w:r>
            <w:proofErr w:type="spellEnd"/>
            <w:r w:rsidRPr="002E5736">
              <w:rPr>
                <w:rFonts w:ascii="Times New Roman" w:hAnsi="Times New Roman"/>
                <w:bCs/>
                <w:sz w:val="18"/>
                <w:szCs w:val="18"/>
              </w:rPr>
              <w:t xml:space="preserve"> грамотність як ключова компетенція </w:t>
            </w:r>
            <w:proofErr w:type="spellStart"/>
            <w:r w:rsidRPr="002E5736">
              <w:rPr>
                <w:rFonts w:ascii="Times New Roman" w:hAnsi="Times New Roman"/>
                <w:bCs/>
                <w:sz w:val="18"/>
                <w:szCs w:val="18"/>
              </w:rPr>
              <w:t>діджиталізованого</w:t>
            </w:r>
            <w:proofErr w:type="spellEnd"/>
            <w:r w:rsidRPr="002E5736">
              <w:rPr>
                <w:rFonts w:ascii="Times New Roman" w:hAnsi="Times New Roman"/>
                <w:bCs/>
                <w:sz w:val="18"/>
                <w:szCs w:val="18"/>
              </w:rPr>
              <w:t xml:space="preserve"> суспільства та головна умова якісної освіти.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C6" w:rsidRPr="002E5736" w:rsidRDefault="00ED4EC6" w:rsidP="000F6EEC">
            <w:pPr>
              <w:pStyle w:val="TableParagraph"/>
              <w:jc w:val="center"/>
              <w:rPr>
                <w:b/>
                <w:color w:val="FF0000"/>
                <w:sz w:val="18"/>
                <w:szCs w:val="18"/>
                <w:lang w:val="uk-UA"/>
              </w:rPr>
            </w:pPr>
            <w:r w:rsidRPr="002E5736">
              <w:rPr>
                <w:b/>
                <w:sz w:val="18"/>
                <w:szCs w:val="18"/>
                <w:lang w:val="uk-UA"/>
              </w:rPr>
              <w:t>10</w:t>
            </w:r>
          </w:p>
        </w:tc>
      </w:tr>
      <w:tr w:rsidR="00ED4EC6" w:rsidRPr="002E5736" w:rsidTr="000F6EEC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EC6" w:rsidRPr="002E5736" w:rsidRDefault="00ED4EC6" w:rsidP="000F6E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C6" w:rsidRPr="002E5736" w:rsidRDefault="00ED4EC6" w:rsidP="000F6E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E573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C6" w:rsidRPr="002E5736" w:rsidRDefault="00ED4EC6" w:rsidP="000F6E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E5736">
              <w:rPr>
                <w:rFonts w:ascii="Times New Roman" w:hAnsi="Times New Roman"/>
                <w:b/>
                <w:sz w:val="18"/>
                <w:szCs w:val="18"/>
              </w:rPr>
              <w:t>Модуль 2. Психологія, педагогіка та  інклюзивна освіта</w:t>
            </w:r>
          </w:p>
          <w:p w:rsidR="00ED4EC6" w:rsidRPr="002E5736" w:rsidRDefault="00ED4EC6" w:rsidP="000F6E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E5736">
              <w:rPr>
                <w:rFonts w:ascii="Times New Roman" w:hAnsi="Times New Roman"/>
                <w:b/>
                <w:sz w:val="18"/>
                <w:szCs w:val="18"/>
              </w:rPr>
              <w:t>Змістовні лінії:</w:t>
            </w:r>
          </w:p>
          <w:p w:rsidR="00ED4EC6" w:rsidRPr="002E5736" w:rsidRDefault="00ED4EC6" w:rsidP="000F6EEC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E5736">
              <w:rPr>
                <w:rFonts w:ascii="Times New Roman" w:hAnsi="Times New Roman"/>
                <w:sz w:val="18"/>
                <w:szCs w:val="18"/>
              </w:rPr>
              <w:t>1. Основи інклюзивного навчання; діти з особливими потребами: особливості навчання та розвитку, психолого-педагогічні умови їх підтримки в освітньому процесі; універсальний дизайн в освіті.</w:t>
            </w:r>
          </w:p>
          <w:p w:rsidR="00ED4EC6" w:rsidRPr="002E5736" w:rsidRDefault="00ED4EC6" w:rsidP="000F6EEC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E5736">
              <w:rPr>
                <w:rFonts w:ascii="Times New Roman" w:hAnsi="Times New Roman"/>
                <w:sz w:val="18"/>
                <w:szCs w:val="18"/>
              </w:rPr>
              <w:t xml:space="preserve">2. Створення соціально безпечного освітнього середовища: профілактика та подолання </w:t>
            </w:r>
            <w:proofErr w:type="spellStart"/>
            <w:r w:rsidRPr="002E5736">
              <w:rPr>
                <w:rFonts w:ascii="Times New Roman" w:hAnsi="Times New Roman"/>
                <w:sz w:val="18"/>
                <w:szCs w:val="18"/>
              </w:rPr>
              <w:t>булінгу</w:t>
            </w:r>
            <w:proofErr w:type="spellEnd"/>
            <w:r w:rsidRPr="002E5736">
              <w:rPr>
                <w:rFonts w:ascii="Times New Roman" w:hAnsi="Times New Roman"/>
                <w:sz w:val="18"/>
                <w:szCs w:val="18"/>
              </w:rPr>
              <w:t xml:space="preserve"> та шкільного насилля у закладах освіти; сучасні проблеми адаптації та соціалізації особистості; формування соціальних </w:t>
            </w:r>
            <w:proofErr w:type="spellStart"/>
            <w:r w:rsidRPr="002E5736">
              <w:rPr>
                <w:rFonts w:ascii="Times New Roman" w:hAnsi="Times New Roman"/>
                <w:sz w:val="18"/>
                <w:szCs w:val="18"/>
              </w:rPr>
              <w:t>компетентностей</w:t>
            </w:r>
            <w:proofErr w:type="spellEnd"/>
            <w:r w:rsidRPr="002E5736">
              <w:rPr>
                <w:rFonts w:ascii="Times New Roman" w:hAnsi="Times New Roman"/>
                <w:sz w:val="18"/>
                <w:szCs w:val="18"/>
              </w:rPr>
              <w:t xml:space="preserve"> особистості в процесі </w:t>
            </w:r>
            <w:proofErr w:type="spellStart"/>
            <w:r w:rsidRPr="002E5736">
              <w:rPr>
                <w:rFonts w:ascii="Times New Roman" w:hAnsi="Times New Roman"/>
                <w:sz w:val="18"/>
                <w:szCs w:val="18"/>
              </w:rPr>
              <w:t>нейроменеджменту</w:t>
            </w:r>
            <w:proofErr w:type="spellEnd"/>
            <w:r w:rsidRPr="002E5736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ED4EC6" w:rsidRPr="002E5736" w:rsidRDefault="00ED4EC6" w:rsidP="000F6EEC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E5736">
              <w:rPr>
                <w:rFonts w:ascii="Times New Roman" w:hAnsi="Times New Roman"/>
                <w:sz w:val="18"/>
                <w:szCs w:val="18"/>
              </w:rPr>
              <w:t xml:space="preserve">3. Педагогіка партнерства: взаємодія з батьками; педагогіка партнерства та </w:t>
            </w:r>
            <w:proofErr w:type="spellStart"/>
            <w:r w:rsidRPr="002E5736">
              <w:rPr>
                <w:rFonts w:ascii="Times New Roman" w:hAnsi="Times New Roman"/>
                <w:sz w:val="18"/>
                <w:szCs w:val="18"/>
              </w:rPr>
              <w:t>компетентнісний</w:t>
            </w:r>
            <w:proofErr w:type="spellEnd"/>
            <w:r w:rsidRPr="002E5736">
              <w:rPr>
                <w:rFonts w:ascii="Times New Roman" w:hAnsi="Times New Roman"/>
                <w:sz w:val="18"/>
                <w:szCs w:val="18"/>
              </w:rPr>
              <w:t xml:space="preserve"> підхід у роботі вчителя; педагогічний супровід талановитих дітей; розвиток емоційної компетентності педагога.</w:t>
            </w:r>
          </w:p>
          <w:p w:rsidR="00ED4EC6" w:rsidRPr="002E5736" w:rsidRDefault="00ED4EC6" w:rsidP="000F6EEC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E5736">
              <w:rPr>
                <w:rFonts w:ascii="Times New Roman" w:hAnsi="Times New Roman"/>
                <w:sz w:val="18"/>
                <w:szCs w:val="18"/>
              </w:rPr>
              <w:t xml:space="preserve">4. Розвиток психологічної компетентності педагога: психологічні особливості розвитку дитини на різних вікових етапах; стратегії і тактики попередження професійного стресу; психологія </w:t>
            </w:r>
            <w:proofErr w:type="spellStart"/>
            <w:r w:rsidRPr="002E5736">
              <w:rPr>
                <w:rFonts w:ascii="Times New Roman" w:hAnsi="Times New Roman"/>
                <w:sz w:val="18"/>
                <w:szCs w:val="18"/>
              </w:rPr>
              <w:t>тімбілдінгу</w:t>
            </w:r>
            <w:proofErr w:type="spellEnd"/>
            <w:r w:rsidRPr="002E5736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2E5736">
              <w:rPr>
                <w:rFonts w:ascii="Times New Roman" w:hAnsi="Times New Roman"/>
                <w:sz w:val="18"/>
                <w:szCs w:val="18"/>
              </w:rPr>
              <w:t>командотворення</w:t>
            </w:r>
            <w:proofErr w:type="spellEnd"/>
            <w:r w:rsidRPr="002E5736">
              <w:rPr>
                <w:rFonts w:ascii="Times New Roman" w:hAnsi="Times New Roman"/>
                <w:sz w:val="18"/>
                <w:szCs w:val="18"/>
              </w:rPr>
              <w:t>); психодіагностика особистості учня, психологія класного менеджменту.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C6" w:rsidRPr="002E5736" w:rsidRDefault="00756CFC" w:rsidP="000F6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  <w:t>10</w:t>
            </w:r>
          </w:p>
        </w:tc>
      </w:tr>
      <w:tr w:rsidR="00ED4EC6" w:rsidRPr="002E5736" w:rsidTr="000F6EEC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EC6" w:rsidRPr="002E5736" w:rsidRDefault="00ED4EC6" w:rsidP="000F6E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C6" w:rsidRPr="002E5736" w:rsidRDefault="00ED4EC6" w:rsidP="000F6E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E573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C6" w:rsidRPr="002E5736" w:rsidRDefault="00ED4EC6" w:rsidP="000F6E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5736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Модуль 3. Організаційно-методичні засади розвитку професійної  компетентності вчителя</w:t>
            </w:r>
            <w:r w:rsidRPr="002E5736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</w:p>
          <w:p w:rsidR="00ED4EC6" w:rsidRPr="002E5736" w:rsidRDefault="00ED4EC6" w:rsidP="000F6EE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  <w:lang w:eastAsia="en-US"/>
              </w:rPr>
            </w:pPr>
            <w:r w:rsidRPr="002E5736">
              <w:rPr>
                <w:rFonts w:ascii="Times New Roman" w:hAnsi="Times New Roman"/>
                <w:b/>
                <w:bCs/>
                <w:sz w:val="18"/>
                <w:szCs w:val="18"/>
              </w:rPr>
              <w:t>Змістовні лінії</w:t>
            </w:r>
            <w:r w:rsidRPr="002E5736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C6" w:rsidRPr="002E5736" w:rsidRDefault="00756CFC" w:rsidP="000F6E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40</w:t>
            </w:r>
          </w:p>
        </w:tc>
      </w:tr>
      <w:tr w:rsidR="00ED4EC6" w:rsidRPr="002E5736" w:rsidTr="000F6EEC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EC6" w:rsidRPr="002E5736" w:rsidRDefault="00ED4EC6" w:rsidP="000F6E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6" w:rsidRPr="002E5736" w:rsidRDefault="00ED4EC6" w:rsidP="000F6E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6" w:rsidRPr="002E5736" w:rsidRDefault="00ED4EC6" w:rsidP="000F6EEC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5" w:firstLine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2E5736">
              <w:rPr>
                <w:rFonts w:ascii="Times New Roman" w:hAnsi="Times New Roman"/>
                <w:bCs/>
                <w:sz w:val="18"/>
                <w:szCs w:val="18"/>
              </w:rPr>
              <w:t xml:space="preserve">Інформаційні, цифрові технології в освітньому процесі, Е-навчання, </w:t>
            </w:r>
            <w:proofErr w:type="spellStart"/>
            <w:r w:rsidRPr="002E5736">
              <w:rPr>
                <w:rFonts w:ascii="Times New Roman" w:hAnsi="Times New Roman"/>
                <w:bCs/>
                <w:sz w:val="18"/>
                <w:szCs w:val="18"/>
              </w:rPr>
              <w:t>кібербезпека</w:t>
            </w:r>
            <w:proofErr w:type="spellEnd"/>
            <w:r w:rsidRPr="002E5736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6" w:rsidRPr="002E5736" w:rsidRDefault="00ED4EC6" w:rsidP="000F6E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E5736">
              <w:rPr>
                <w:rFonts w:ascii="Times New Roman" w:hAnsi="Times New Roman"/>
                <w:sz w:val="18"/>
                <w:szCs w:val="18"/>
                <w:lang w:eastAsia="en-US"/>
              </w:rPr>
              <w:t>10</w:t>
            </w:r>
          </w:p>
        </w:tc>
      </w:tr>
      <w:tr w:rsidR="00ED4EC6" w:rsidRPr="002E5736" w:rsidTr="000F6EEC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EC6" w:rsidRPr="002E5736" w:rsidRDefault="00ED4EC6" w:rsidP="000F6E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6" w:rsidRPr="002E5736" w:rsidRDefault="00ED4EC6" w:rsidP="000F6E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6" w:rsidRPr="002E5736" w:rsidRDefault="00ED4EC6" w:rsidP="000F6EEC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5" w:firstLine="0"/>
              <w:jc w:val="both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2E5736">
              <w:rPr>
                <w:rFonts w:ascii="Times New Roman" w:hAnsi="Times New Roman"/>
                <w:bCs/>
                <w:sz w:val="18"/>
                <w:szCs w:val="18"/>
              </w:rPr>
              <w:t>Професійні компетентності (знання предмета, фахових методик, технологій).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6" w:rsidRPr="006B3C1B" w:rsidRDefault="00756CFC" w:rsidP="000F6E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30</w:t>
            </w:r>
          </w:p>
        </w:tc>
      </w:tr>
      <w:tr w:rsidR="00ED4EC6" w:rsidRPr="002E5736" w:rsidTr="000F6EEC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EC6" w:rsidRPr="002E5736" w:rsidRDefault="00ED4EC6" w:rsidP="000F6E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6" w:rsidRPr="002E5736" w:rsidRDefault="002F5B53" w:rsidP="000F6E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ED4EC6" w:rsidRPr="002E5736">
              <w:rPr>
                <w:rFonts w:ascii="Times New Roman" w:hAnsi="Times New Roman"/>
                <w:sz w:val="18"/>
                <w:szCs w:val="18"/>
              </w:rPr>
              <w:t>.2.1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6" w:rsidRPr="002E5736" w:rsidRDefault="00ED4EC6" w:rsidP="000F6EEC">
            <w:pPr>
              <w:pStyle w:val="a3"/>
              <w:tabs>
                <w:tab w:val="left" w:pos="318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2E5736">
              <w:rPr>
                <w:rFonts w:ascii="Times New Roman" w:hAnsi="Times New Roman"/>
                <w:bCs/>
                <w:sz w:val="18"/>
                <w:szCs w:val="18"/>
              </w:rPr>
              <w:t xml:space="preserve">Державна освітня політика в галузі «Мови та літератури»: практична реалізація Державного стандарту базової середньої освіти, Законів України «Про освіту» та </w:t>
            </w:r>
            <w:r w:rsidRPr="002E5736">
              <w:rPr>
                <w:sz w:val="18"/>
                <w:szCs w:val="18"/>
              </w:rPr>
              <w:t>«</w:t>
            </w:r>
            <w:r w:rsidRPr="002E5736">
              <w:rPr>
                <w:rFonts w:ascii="Times New Roman" w:hAnsi="Times New Roman"/>
                <w:bCs/>
                <w:sz w:val="18"/>
                <w:szCs w:val="18"/>
              </w:rPr>
              <w:t>Про повну загальну середню освіту». Нормативно-правове забезпечення викладання зарубіжної літератури в закладах загальної середньої</w:t>
            </w:r>
            <w:r w:rsidR="00AA7AF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hAnsi="Times New Roman"/>
                <w:bCs/>
                <w:sz w:val="18"/>
                <w:szCs w:val="18"/>
              </w:rPr>
              <w:t xml:space="preserve">освіти.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6" w:rsidRPr="002E5736" w:rsidRDefault="00ED4EC6" w:rsidP="000F6E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E5736"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</w:tr>
      <w:tr w:rsidR="00ED4EC6" w:rsidRPr="002E5736" w:rsidTr="000F6EEC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EC6" w:rsidRPr="002E5736" w:rsidRDefault="00ED4EC6" w:rsidP="000F6E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6" w:rsidRPr="002E5736" w:rsidRDefault="002F5B53" w:rsidP="000F6E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ED4EC6" w:rsidRPr="002E5736">
              <w:rPr>
                <w:rFonts w:ascii="Times New Roman" w:hAnsi="Times New Roman"/>
                <w:sz w:val="18"/>
                <w:szCs w:val="18"/>
              </w:rPr>
              <w:t>.2.2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6" w:rsidRPr="002E5736" w:rsidRDefault="00ED4EC6" w:rsidP="000F6EEC">
            <w:pPr>
              <w:pStyle w:val="a3"/>
              <w:tabs>
                <w:tab w:val="left" w:pos="318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2E5736">
              <w:rPr>
                <w:rFonts w:ascii="Times New Roman" w:hAnsi="Times New Roman"/>
                <w:bCs/>
                <w:sz w:val="18"/>
                <w:szCs w:val="18"/>
              </w:rPr>
              <w:t>Сучасний вчитель зарубіжної літератури. Професійні уміння у таких сферах діяльності: «Планування уроків та курсів»; «Розуміння уроку»; «Оцінювання навчальних досягнень»; «Знання предмета»; «Керування власним професійним розвитком».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6" w:rsidRPr="002E5736" w:rsidRDefault="00ED4EC6" w:rsidP="000F6E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E5736"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</w:p>
        </w:tc>
      </w:tr>
      <w:tr w:rsidR="00ED4EC6" w:rsidRPr="002E5736" w:rsidTr="000F6EEC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EC6" w:rsidRPr="002E5736" w:rsidRDefault="00ED4EC6" w:rsidP="000F6E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6" w:rsidRPr="002E5736" w:rsidRDefault="002F5B53" w:rsidP="000F6E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ED4EC6" w:rsidRPr="002E5736">
              <w:rPr>
                <w:rFonts w:ascii="Times New Roman" w:hAnsi="Times New Roman"/>
                <w:sz w:val="18"/>
                <w:szCs w:val="18"/>
              </w:rPr>
              <w:t>.2.3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6" w:rsidRPr="002E5736" w:rsidRDefault="00ED4EC6" w:rsidP="000F6EEC">
            <w:pPr>
              <w:pStyle w:val="a3"/>
              <w:tabs>
                <w:tab w:val="left" w:pos="318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2E5736">
              <w:rPr>
                <w:rFonts w:ascii="Times New Roman" w:hAnsi="Times New Roman"/>
                <w:bCs/>
                <w:sz w:val="18"/>
                <w:szCs w:val="18"/>
              </w:rPr>
              <w:t>Компетентнісний</w:t>
            </w:r>
            <w:proofErr w:type="spellEnd"/>
            <w:r w:rsidRPr="002E5736">
              <w:rPr>
                <w:rFonts w:ascii="Times New Roman" w:hAnsi="Times New Roman"/>
                <w:bCs/>
                <w:sz w:val="18"/>
                <w:szCs w:val="18"/>
              </w:rPr>
              <w:t xml:space="preserve"> підхід у викладанні зарубіжної літератури. Наскрізні змістові лінії. Ключові компетентності. Проектна діяльність вчителя зарубіжної літератури. Освітні проекти.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6" w:rsidRPr="002E5736" w:rsidRDefault="00756CFC" w:rsidP="000F6E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</w:p>
        </w:tc>
      </w:tr>
      <w:tr w:rsidR="00ED4EC6" w:rsidRPr="002E5736" w:rsidTr="000F6EEC">
        <w:trPr>
          <w:gridAfter w:val="1"/>
          <w:wAfter w:w="9" w:type="dxa"/>
          <w:trHeight w:val="343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EC6" w:rsidRPr="002E5736" w:rsidRDefault="00ED4EC6" w:rsidP="000F6E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6" w:rsidRPr="002E5736" w:rsidRDefault="002F5B53" w:rsidP="000F6E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ED4EC6" w:rsidRPr="002E5736">
              <w:rPr>
                <w:rFonts w:ascii="Times New Roman" w:hAnsi="Times New Roman"/>
                <w:sz w:val="18"/>
                <w:szCs w:val="18"/>
              </w:rPr>
              <w:t>.2.4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6" w:rsidRPr="002E5736" w:rsidRDefault="00ED4EC6" w:rsidP="000F6EE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5736">
              <w:rPr>
                <w:rFonts w:ascii="Times New Roman" w:hAnsi="Times New Roman" w:cs="Times New Roman"/>
                <w:sz w:val="18"/>
                <w:szCs w:val="18"/>
              </w:rPr>
              <w:t>Сучасний</w:t>
            </w:r>
            <w:r w:rsidR="00AA7A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hAnsi="Times New Roman" w:cs="Times New Roman"/>
                <w:sz w:val="18"/>
                <w:szCs w:val="18"/>
              </w:rPr>
              <w:t>літературний</w:t>
            </w:r>
            <w:r w:rsidR="00AA7A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hAnsi="Times New Roman" w:cs="Times New Roman"/>
                <w:sz w:val="18"/>
                <w:szCs w:val="18"/>
              </w:rPr>
              <w:t>процес: основні тенденції розвитку. Сучасна дитяча зарубіжна література. Література для підлітків. Літературні премії. Книги бестселери. Перекладацький процес.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6" w:rsidRPr="002E5736" w:rsidRDefault="002F5B53" w:rsidP="000F6E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</w:p>
        </w:tc>
      </w:tr>
      <w:tr w:rsidR="00ED4EC6" w:rsidRPr="002E5736" w:rsidTr="000F6EEC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EC6" w:rsidRPr="002E5736" w:rsidRDefault="00ED4EC6" w:rsidP="000F6E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6" w:rsidRPr="002E5736" w:rsidRDefault="002F5B53" w:rsidP="000F6E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ED4EC6" w:rsidRPr="002E5736">
              <w:rPr>
                <w:rFonts w:ascii="Times New Roman" w:hAnsi="Times New Roman"/>
                <w:sz w:val="18"/>
                <w:szCs w:val="18"/>
              </w:rPr>
              <w:t>.2.5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6" w:rsidRPr="002E5736" w:rsidRDefault="00ED4EC6" w:rsidP="000F6EE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5736">
              <w:rPr>
                <w:rFonts w:ascii="Times New Roman" w:hAnsi="Times New Roman" w:cs="Times New Roman"/>
                <w:sz w:val="18"/>
                <w:szCs w:val="18"/>
              </w:rPr>
              <w:t>Стратегії смислового читання, робота з художнім текстом. Види читання. Методичні прийоми засвоєння учнями стратегії смислового читання. Системна робота вчителя й учнів для розвитку навичок смислового читання. Робота з художнім текстом: пошук інформації і розуміння прочитаного; інтерпретація прочитаного; оцінка прочитаного. Художній текст як явище мистецтва слова. Від слова до образу. Від тексту до думки. Від теми до ідеї.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6" w:rsidRPr="002E5736" w:rsidRDefault="00756CFC" w:rsidP="000F6E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</w:p>
        </w:tc>
      </w:tr>
      <w:tr w:rsidR="00ED4EC6" w:rsidRPr="002E5736" w:rsidTr="000F6EEC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EC6" w:rsidRPr="002E5736" w:rsidRDefault="00ED4EC6" w:rsidP="000F6E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6" w:rsidRPr="002E5736" w:rsidRDefault="002F5B53" w:rsidP="000F6E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ED4EC6" w:rsidRPr="002E5736">
              <w:rPr>
                <w:rFonts w:ascii="Times New Roman" w:hAnsi="Times New Roman"/>
                <w:sz w:val="18"/>
                <w:szCs w:val="18"/>
              </w:rPr>
              <w:t>.2.6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6" w:rsidRPr="002E5736" w:rsidRDefault="00ED4EC6" w:rsidP="000F6EE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5736">
              <w:rPr>
                <w:rFonts w:ascii="Times New Roman" w:hAnsi="Times New Roman" w:cs="Times New Roman"/>
                <w:sz w:val="18"/>
                <w:szCs w:val="18"/>
              </w:rPr>
              <w:t>Сучасні педагогічні технології у практиці викладання зарубіжної літератури.</w:t>
            </w:r>
            <w:r w:rsidR="00AA7A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hAnsi="Times New Roman" w:cs="Times New Roman"/>
                <w:sz w:val="18"/>
                <w:szCs w:val="18"/>
              </w:rPr>
              <w:t>Сучасні педагогічні технології як спосіб взаємодії вчителя та учнів, сукупність форм і методів надання навчальної інформації.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6" w:rsidRPr="002E5736" w:rsidRDefault="00ED4EC6" w:rsidP="000F6E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E5736"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</w:tr>
      <w:tr w:rsidR="00ED4EC6" w:rsidRPr="002E5736" w:rsidTr="000F6EEC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EC6" w:rsidRPr="002E5736" w:rsidRDefault="00ED4EC6" w:rsidP="000F6E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6" w:rsidRPr="002E5736" w:rsidRDefault="002F5B53" w:rsidP="000F6E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ED4EC6" w:rsidRPr="002E5736">
              <w:rPr>
                <w:rFonts w:ascii="Times New Roman" w:hAnsi="Times New Roman"/>
                <w:sz w:val="18"/>
                <w:szCs w:val="18"/>
              </w:rPr>
              <w:t>.2.7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6" w:rsidRPr="002E5736" w:rsidRDefault="00ED4EC6" w:rsidP="000F6EE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5736">
              <w:rPr>
                <w:rFonts w:ascii="Times New Roman" w:hAnsi="Times New Roman" w:cs="Times New Roman"/>
                <w:sz w:val="18"/>
                <w:szCs w:val="18"/>
              </w:rPr>
              <w:t>Ключові уміння 21 століття в контексті викладання зарубіжної літератури. Ключові життєві уміння:</w:t>
            </w:r>
            <w:r w:rsidR="00123D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hAnsi="Times New Roman" w:cs="Times New Roman"/>
                <w:sz w:val="18"/>
                <w:szCs w:val="18"/>
              </w:rPr>
              <w:t>громадянськість; креативність та уява;</w:t>
            </w:r>
            <w:r w:rsidR="00123D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hAnsi="Times New Roman" w:cs="Times New Roman"/>
                <w:sz w:val="18"/>
                <w:szCs w:val="18"/>
              </w:rPr>
              <w:t>критичне мислення та розв’язування проблем;</w:t>
            </w:r>
            <w:r w:rsidR="00123D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hAnsi="Times New Roman" w:cs="Times New Roman"/>
                <w:sz w:val="18"/>
                <w:szCs w:val="18"/>
              </w:rPr>
              <w:t>лідерство та розвиток особистості;</w:t>
            </w:r>
            <w:r w:rsidR="00123D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hAnsi="Times New Roman" w:cs="Times New Roman"/>
                <w:sz w:val="18"/>
                <w:szCs w:val="18"/>
              </w:rPr>
              <w:t>співпраця та спілкування;</w:t>
            </w:r>
            <w:r w:rsidR="00123D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hAnsi="Times New Roman" w:cs="Times New Roman"/>
                <w:sz w:val="18"/>
                <w:szCs w:val="18"/>
              </w:rPr>
              <w:t>цифрова грамотність.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6" w:rsidRPr="002E5736" w:rsidRDefault="002F5B53" w:rsidP="000F6E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</w:p>
        </w:tc>
      </w:tr>
      <w:tr w:rsidR="00ED4EC6" w:rsidRPr="002E5736" w:rsidTr="000F6EEC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EC6" w:rsidRPr="002E5736" w:rsidRDefault="00ED4EC6" w:rsidP="000F6E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6" w:rsidRPr="002E5736" w:rsidRDefault="002F5B53" w:rsidP="000F6E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ED4EC6" w:rsidRPr="002E5736">
              <w:rPr>
                <w:rFonts w:ascii="Times New Roman" w:hAnsi="Times New Roman"/>
                <w:sz w:val="18"/>
                <w:szCs w:val="18"/>
              </w:rPr>
              <w:t>.2.8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6" w:rsidRPr="002E5736" w:rsidRDefault="00ED4EC6" w:rsidP="000F6EEC">
            <w:pPr>
              <w:pStyle w:val="a3"/>
              <w:tabs>
                <w:tab w:val="left" w:pos="318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2E5736">
              <w:rPr>
                <w:rFonts w:ascii="Times New Roman" w:hAnsi="Times New Roman"/>
                <w:sz w:val="18"/>
                <w:szCs w:val="18"/>
                <w:lang w:eastAsia="en-US"/>
              </w:rPr>
              <w:t>Практика.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6" w:rsidRPr="002E5736" w:rsidRDefault="00ED4EC6" w:rsidP="000F6E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E5736"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</w:p>
        </w:tc>
      </w:tr>
      <w:tr w:rsidR="00ED4EC6" w:rsidRPr="002E5736" w:rsidTr="000F6EEC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EC6" w:rsidRPr="002E5736" w:rsidRDefault="00ED4EC6" w:rsidP="000F6E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6" w:rsidRPr="002E5736" w:rsidRDefault="00ED4EC6" w:rsidP="000F6EEC">
            <w:pPr>
              <w:tabs>
                <w:tab w:val="left" w:pos="318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2E5736">
              <w:rPr>
                <w:rFonts w:ascii="Times New Roman" w:hAnsi="Times New Roman"/>
                <w:sz w:val="18"/>
                <w:szCs w:val="18"/>
                <w:lang w:eastAsia="en-US"/>
              </w:rPr>
              <w:t>Тематична конференція</w:t>
            </w:r>
            <w:r w:rsidRPr="002E5736">
              <w:rPr>
                <w:rFonts w:ascii="Times New Roman" w:hAnsi="Times New Roman" w:cs="Times New Roman"/>
                <w:sz w:val="18"/>
                <w:szCs w:val="18"/>
              </w:rPr>
              <w:t>. Науково-методологічні осмислення та рефлексії особистого педагогічного досвіду.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6" w:rsidRPr="002E5736" w:rsidRDefault="00756CFC" w:rsidP="000F6E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</w:t>
            </w:r>
          </w:p>
        </w:tc>
      </w:tr>
      <w:tr w:rsidR="00ED4EC6" w:rsidRPr="002E5736" w:rsidTr="000F6EEC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EC6" w:rsidRPr="002E5736" w:rsidRDefault="00ED4EC6" w:rsidP="000F6E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6" w:rsidRPr="002E5736" w:rsidRDefault="00ED4EC6" w:rsidP="000F6E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2E5736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Разом годин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EC6" w:rsidRPr="002E5736" w:rsidRDefault="002F5B53" w:rsidP="000F6E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60</w:t>
            </w:r>
          </w:p>
        </w:tc>
      </w:tr>
      <w:tr w:rsidR="00ED4EC6" w:rsidRPr="002E5736" w:rsidTr="000F6EEC">
        <w:trPr>
          <w:gridAfter w:val="1"/>
          <w:wAfter w:w="9" w:type="dxa"/>
          <w:trHeight w:val="307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EC6" w:rsidRPr="002E5736" w:rsidRDefault="00ED4EC6" w:rsidP="000F6E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4EC6" w:rsidRPr="002E5736" w:rsidRDefault="00ED4EC6" w:rsidP="000F6EE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4EC6" w:rsidRPr="002E5736" w:rsidRDefault="00ED4EC6" w:rsidP="000F6E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C6" w:rsidRPr="002E5736" w:rsidRDefault="00ED4EC6" w:rsidP="000F6E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ED4EC6" w:rsidRPr="002E5736" w:rsidTr="000F6EEC">
        <w:trPr>
          <w:gridAfter w:val="1"/>
          <w:wAfter w:w="9" w:type="dxa"/>
          <w:trHeight w:val="6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D4EC6" w:rsidRPr="002E5736" w:rsidRDefault="00ED4EC6" w:rsidP="000F6E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right w:val="nil"/>
            </w:tcBorders>
            <w:hideMark/>
          </w:tcPr>
          <w:p w:rsidR="00ED4EC6" w:rsidRPr="002E5736" w:rsidRDefault="00ED4EC6" w:rsidP="000F6E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EC6" w:rsidRPr="002E5736" w:rsidRDefault="00ED4EC6" w:rsidP="000F6EEC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ED4EC6" w:rsidRPr="002E5736" w:rsidTr="000F6EEC">
        <w:tc>
          <w:tcPr>
            <w:tcW w:w="10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C6" w:rsidRPr="002E5736" w:rsidRDefault="00ED4EC6" w:rsidP="000F6EE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  <w:r w:rsidRPr="002E5736">
              <w:rPr>
                <w:rFonts w:ascii="Times New Roman" w:hAnsi="Times New Roman"/>
                <w:b/>
                <w:i/>
                <w:sz w:val="18"/>
                <w:szCs w:val="18"/>
              </w:rPr>
              <w:t>Навчання за програмою</w:t>
            </w:r>
            <w:r w:rsidR="00AA7AF3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hAnsi="Times New Roman"/>
                <w:b/>
                <w:i/>
                <w:sz w:val="18"/>
                <w:szCs w:val="18"/>
              </w:rPr>
              <w:t>підвищення</w:t>
            </w:r>
            <w:r w:rsidR="00AA7AF3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hAnsi="Times New Roman"/>
                <w:b/>
                <w:i/>
                <w:sz w:val="18"/>
                <w:szCs w:val="18"/>
              </w:rPr>
              <w:t>кваліфікації</w:t>
            </w:r>
            <w:r w:rsidR="00AA7AF3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hAnsi="Times New Roman"/>
                <w:b/>
                <w:i/>
                <w:sz w:val="18"/>
                <w:szCs w:val="18"/>
              </w:rPr>
              <w:t>завершується</w:t>
            </w:r>
            <w:r w:rsidR="00AA7AF3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hAnsi="Times New Roman"/>
                <w:b/>
                <w:i/>
                <w:sz w:val="18"/>
                <w:szCs w:val="18"/>
              </w:rPr>
              <w:t>тематичною</w:t>
            </w:r>
            <w:r w:rsidR="00AA7AF3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hAnsi="Times New Roman"/>
                <w:b/>
                <w:i/>
                <w:sz w:val="18"/>
                <w:szCs w:val="18"/>
              </w:rPr>
              <w:t>конференцією за участю</w:t>
            </w:r>
            <w:r w:rsidR="00AA7AF3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hAnsi="Times New Roman"/>
                <w:b/>
                <w:i/>
                <w:sz w:val="18"/>
                <w:szCs w:val="18"/>
              </w:rPr>
              <w:t>науково-педагогічних</w:t>
            </w:r>
            <w:r w:rsidR="00AA7AF3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hAnsi="Times New Roman"/>
                <w:b/>
                <w:i/>
                <w:sz w:val="18"/>
                <w:szCs w:val="18"/>
              </w:rPr>
              <w:t>працівників та керівників</w:t>
            </w:r>
            <w:r w:rsidR="00AA7AF3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hAnsi="Times New Roman"/>
                <w:b/>
                <w:i/>
                <w:sz w:val="18"/>
                <w:szCs w:val="18"/>
              </w:rPr>
              <w:t>курсів (не більше</w:t>
            </w:r>
            <w:r w:rsidR="00AA7AF3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hAnsi="Times New Roman"/>
                <w:b/>
                <w:i/>
                <w:sz w:val="18"/>
                <w:szCs w:val="18"/>
              </w:rPr>
              <w:t>трьох</w:t>
            </w:r>
            <w:r w:rsidR="00AA7AF3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hAnsi="Times New Roman"/>
                <w:b/>
                <w:i/>
                <w:sz w:val="18"/>
                <w:szCs w:val="18"/>
              </w:rPr>
              <w:t>осіб на одну групу). Тематична</w:t>
            </w:r>
            <w:r w:rsidR="00AA7AF3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hAnsi="Times New Roman"/>
                <w:b/>
                <w:i/>
                <w:sz w:val="18"/>
                <w:szCs w:val="18"/>
              </w:rPr>
              <w:t>конференція</w:t>
            </w:r>
            <w:r w:rsidR="00AA7AF3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hAnsi="Times New Roman"/>
                <w:b/>
                <w:i/>
                <w:sz w:val="18"/>
                <w:szCs w:val="18"/>
              </w:rPr>
              <w:t>передбачає</w:t>
            </w:r>
            <w:r w:rsidR="00AA7AF3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hAnsi="Times New Roman"/>
                <w:b/>
                <w:i/>
                <w:sz w:val="18"/>
                <w:szCs w:val="18"/>
              </w:rPr>
              <w:t>обговорення</w:t>
            </w:r>
            <w:r w:rsidR="00AA7AF3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hAnsi="Times New Roman"/>
                <w:b/>
                <w:i/>
                <w:sz w:val="18"/>
                <w:szCs w:val="18"/>
              </w:rPr>
              <w:t>проблемних</w:t>
            </w:r>
            <w:r w:rsidR="00AA7AF3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hAnsi="Times New Roman"/>
                <w:b/>
                <w:i/>
                <w:sz w:val="18"/>
                <w:szCs w:val="18"/>
              </w:rPr>
              <w:t>питань, результатів</w:t>
            </w:r>
            <w:r w:rsidR="00AA7AF3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hAnsi="Times New Roman"/>
                <w:b/>
                <w:i/>
                <w:sz w:val="18"/>
                <w:szCs w:val="18"/>
              </w:rPr>
              <w:t>навчання, виконання</w:t>
            </w:r>
            <w:r w:rsidR="00AA7AF3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hAnsi="Times New Roman"/>
                <w:b/>
                <w:i/>
                <w:sz w:val="18"/>
                <w:szCs w:val="18"/>
              </w:rPr>
              <w:t>індивідуальних</w:t>
            </w:r>
            <w:r w:rsidR="00AA7AF3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hAnsi="Times New Roman"/>
                <w:b/>
                <w:i/>
                <w:sz w:val="18"/>
                <w:szCs w:val="18"/>
              </w:rPr>
              <w:t>завдань слухачами курсів за змістом</w:t>
            </w:r>
            <w:r w:rsidR="00AA7AF3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hAnsi="Times New Roman"/>
                <w:b/>
                <w:i/>
                <w:sz w:val="18"/>
                <w:szCs w:val="18"/>
              </w:rPr>
              <w:t>загальних</w:t>
            </w:r>
            <w:r w:rsidR="00AA7AF3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та методичних</w:t>
            </w:r>
            <w:r w:rsidR="00AA7AF3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hAnsi="Times New Roman"/>
                <w:b/>
                <w:i/>
                <w:sz w:val="18"/>
                <w:szCs w:val="18"/>
              </w:rPr>
              <w:t>модулів,</w:t>
            </w:r>
            <w:r w:rsidR="00AA7AF3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передбачених</w:t>
            </w:r>
            <w:r w:rsidR="00AA7AF3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hAnsi="Times New Roman"/>
                <w:b/>
                <w:i/>
                <w:sz w:val="18"/>
                <w:szCs w:val="18"/>
              </w:rPr>
              <w:t>навчальною</w:t>
            </w:r>
            <w:r w:rsidR="00AA7AF3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hAnsi="Times New Roman"/>
                <w:b/>
                <w:i/>
                <w:sz w:val="18"/>
                <w:szCs w:val="18"/>
              </w:rPr>
              <w:t>програмою, отримання</w:t>
            </w:r>
            <w:r w:rsidR="00AA7AF3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hAnsi="Times New Roman"/>
                <w:b/>
                <w:i/>
                <w:sz w:val="18"/>
                <w:szCs w:val="18"/>
              </w:rPr>
              <w:t>зворотного</w:t>
            </w:r>
            <w:r w:rsidR="00AA7AF3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зв’язку. </w:t>
            </w:r>
          </w:p>
        </w:tc>
      </w:tr>
      <w:tr w:rsidR="00ED4EC6" w:rsidRPr="002E5736" w:rsidTr="000F6EEC">
        <w:trPr>
          <w:gridAfter w:val="1"/>
          <w:wAfter w:w="9" w:type="dxa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C6" w:rsidRPr="002E5736" w:rsidRDefault="00ED4EC6" w:rsidP="000F6EEC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2E5736">
              <w:rPr>
                <w:rFonts w:ascii="Times New Roman" w:hAnsi="Times New Roman"/>
                <w:i/>
                <w:sz w:val="18"/>
                <w:szCs w:val="18"/>
              </w:rPr>
              <w:t>Обсяг</w:t>
            </w:r>
            <w:r w:rsidR="00AA7AF3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hAnsi="Times New Roman"/>
                <w:i/>
                <w:sz w:val="18"/>
                <w:szCs w:val="18"/>
              </w:rPr>
              <w:t>програми</w:t>
            </w:r>
          </w:p>
        </w:tc>
        <w:tc>
          <w:tcPr>
            <w:tcW w:w="8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C6" w:rsidRPr="002E5736" w:rsidRDefault="00ED4EC6" w:rsidP="000F6E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E5736">
              <w:rPr>
                <w:rFonts w:ascii="Times New Roman" w:hAnsi="Times New Roman"/>
                <w:sz w:val="18"/>
                <w:szCs w:val="18"/>
              </w:rPr>
              <w:t>2</w:t>
            </w:r>
            <w:r w:rsidR="00123DEA">
              <w:rPr>
                <w:rFonts w:ascii="Times New Roman" w:hAnsi="Times New Roman"/>
                <w:sz w:val="18"/>
                <w:szCs w:val="18"/>
              </w:rPr>
              <w:t xml:space="preserve"> кредити</w:t>
            </w:r>
            <w:r w:rsidRPr="002E5736">
              <w:rPr>
                <w:rFonts w:ascii="Times New Roman" w:hAnsi="Times New Roman"/>
                <w:sz w:val="18"/>
                <w:szCs w:val="18"/>
              </w:rPr>
              <w:t xml:space="preserve"> ЄКТС (60 год)</w:t>
            </w:r>
          </w:p>
        </w:tc>
      </w:tr>
      <w:tr w:rsidR="00ED4EC6" w:rsidRPr="002E5736" w:rsidTr="000F6EEC">
        <w:trPr>
          <w:gridAfter w:val="1"/>
          <w:wAfter w:w="9" w:type="dxa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C6" w:rsidRPr="002E5736" w:rsidRDefault="00ED4EC6" w:rsidP="000F6EEC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2E5736">
              <w:rPr>
                <w:rFonts w:ascii="Times New Roman" w:hAnsi="Times New Roman"/>
                <w:i/>
                <w:sz w:val="18"/>
                <w:szCs w:val="18"/>
              </w:rPr>
              <w:t>Форма підвищення</w:t>
            </w:r>
            <w:r w:rsidR="00AA7AF3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hAnsi="Times New Roman"/>
                <w:i/>
                <w:sz w:val="18"/>
                <w:szCs w:val="18"/>
              </w:rPr>
              <w:t>кваліфікації</w:t>
            </w:r>
          </w:p>
        </w:tc>
        <w:tc>
          <w:tcPr>
            <w:tcW w:w="8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C6" w:rsidRPr="002E5736" w:rsidRDefault="00ED4EC6" w:rsidP="000F6E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E5736">
              <w:rPr>
                <w:rFonts w:ascii="Times New Roman" w:hAnsi="Times New Roman"/>
                <w:sz w:val="18"/>
                <w:szCs w:val="18"/>
              </w:rPr>
              <w:t>Очна заочна, дистанційна відповідно до формату курсів і робочого навчального плану.</w:t>
            </w:r>
          </w:p>
        </w:tc>
      </w:tr>
      <w:tr w:rsidR="00ED4EC6" w:rsidRPr="00D473E3" w:rsidTr="000F6EEC">
        <w:trPr>
          <w:gridAfter w:val="1"/>
          <w:wAfter w:w="9" w:type="dxa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C6" w:rsidRPr="002E5736" w:rsidRDefault="00ED4EC6" w:rsidP="000F6EE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en-US"/>
              </w:rPr>
            </w:pPr>
            <w:r w:rsidRPr="002E5736">
              <w:rPr>
                <w:rFonts w:ascii="Times New Roman" w:hAnsi="Times New Roman"/>
                <w:i/>
                <w:sz w:val="18"/>
                <w:szCs w:val="18"/>
              </w:rPr>
              <w:t xml:space="preserve">Перелік </w:t>
            </w:r>
            <w:proofErr w:type="spellStart"/>
            <w:r w:rsidRPr="002E5736">
              <w:rPr>
                <w:rFonts w:ascii="Times New Roman" w:hAnsi="Times New Roman"/>
                <w:i/>
                <w:sz w:val="18"/>
                <w:szCs w:val="18"/>
              </w:rPr>
              <w:t>компетентностей</w:t>
            </w:r>
            <w:proofErr w:type="spellEnd"/>
            <w:r w:rsidRPr="002E5736">
              <w:rPr>
                <w:rFonts w:ascii="Times New Roman" w:hAnsi="Times New Roman"/>
                <w:i/>
                <w:sz w:val="18"/>
                <w:szCs w:val="18"/>
              </w:rPr>
              <w:t>, що набуваються/</w:t>
            </w:r>
          </w:p>
          <w:p w:rsidR="00ED4EC6" w:rsidRPr="002E5736" w:rsidRDefault="00AA7AF3" w:rsidP="000F6EEC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ED4EC6" w:rsidRPr="002E5736">
              <w:rPr>
                <w:rFonts w:ascii="Times New Roman" w:hAnsi="Times New Roman"/>
                <w:i/>
                <w:sz w:val="18"/>
                <w:szCs w:val="18"/>
              </w:rPr>
              <w:t>удосконалюються (загальні, фахові тощо)</w:t>
            </w:r>
          </w:p>
        </w:tc>
        <w:tc>
          <w:tcPr>
            <w:tcW w:w="8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C6" w:rsidRPr="002E5736" w:rsidRDefault="00ED4EC6" w:rsidP="00123DEA">
            <w:pPr>
              <w:pStyle w:val="LO-normal"/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573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Особистісно</w:t>
            </w:r>
            <w:r w:rsidR="00756CF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  <w:r w:rsidRPr="002E573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професійні:</w:t>
            </w:r>
          </w:p>
          <w:p w:rsidR="00ED4EC6" w:rsidRPr="00D473E3" w:rsidRDefault="00ED4EC6" w:rsidP="00123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5736">
              <w:rPr>
                <w:rFonts w:ascii="Times New Roman" w:hAnsi="Times New Roman"/>
                <w:sz w:val="18"/>
                <w:szCs w:val="18"/>
              </w:rPr>
              <w:t>–здатність здійснювати</w:t>
            </w:r>
            <w:r w:rsidR="00AA7AF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hAnsi="Times New Roman"/>
                <w:sz w:val="18"/>
                <w:szCs w:val="18"/>
              </w:rPr>
              <w:t>цілепокладання та рефлексію;</w:t>
            </w:r>
            <w:r w:rsidR="00AA7AF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473E3">
              <w:rPr>
                <w:rFonts w:ascii="Times New Roman" w:eastAsia="Times New Roman" w:hAnsi="Times New Roman" w:cs="Times New Roman"/>
                <w:sz w:val="18"/>
                <w:szCs w:val="18"/>
              </w:rPr>
              <w:t>здатність виявляти власне ціннісно-смислове ставлення до діяльності;</w:t>
            </w:r>
            <w:r w:rsidR="00AA7AF3" w:rsidRPr="00D473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473E3">
              <w:rPr>
                <w:rFonts w:ascii="Times New Roman" w:eastAsia="Times New Roman" w:hAnsi="Times New Roman" w:cs="Times New Roman"/>
                <w:sz w:val="18"/>
                <w:szCs w:val="18"/>
              </w:rPr>
              <w:t>здатність до саморозвитку та самореалізації</w:t>
            </w:r>
            <w:r w:rsidR="00123DE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ED4EC6" w:rsidRPr="002E5736" w:rsidRDefault="00ED4EC6" w:rsidP="00123DEA">
            <w:pPr>
              <w:pStyle w:val="LO-normal"/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573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Загально</w:t>
            </w:r>
            <w:r w:rsidR="00756CF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  <w:r w:rsidRPr="002E573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педагогічні:</w:t>
            </w:r>
          </w:p>
          <w:p w:rsidR="00ED4EC6" w:rsidRPr="00AA7AF3" w:rsidRDefault="00ED4EC6" w:rsidP="00123DEA">
            <w:pPr>
              <w:pStyle w:val="LO-normal"/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5736">
              <w:rPr>
                <w:rFonts w:ascii="Times New Roman" w:eastAsia="Times New Roman" w:hAnsi="Times New Roman" w:cs="Times New Roman"/>
                <w:sz w:val="18"/>
                <w:szCs w:val="18"/>
              </w:rPr>
              <w:t>– здатність розуміти нормативно-правові документи, науково-методичну літературу;</w:t>
            </w:r>
            <w:r w:rsidR="00AA7AF3" w:rsidRPr="00AA7A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здатність висловлювати та обґрунтовувати власну думку усно і письмово; </w:t>
            </w:r>
            <w:r w:rsidR="00AA7AF3" w:rsidRPr="00AA7A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eastAsia="Times New Roman" w:hAnsi="Times New Roman" w:cs="Times New Roman"/>
                <w:sz w:val="18"/>
                <w:szCs w:val="18"/>
              </w:rPr>
              <w:t>здатність мислити системно й критично;</w:t>
            </w:r>
            <w:r w:rsidR="00AA7AF3" w:rsidRPr="00AA7A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2E57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здатність проявляти ініціативу та логічно обґрунтовувати позицію; </w:t>
            </w:r>
            <w:r w:rsidR="00AA7AF3" w:rsidRPr="00AA7A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eastAsia="Times New Roman" w:hAnsi="Times New Roman" w:cs="Times New Roman"/>
                <w:sz w:val="18"/>
                <w:szCs w:val="18"/>
              </w:rPr>
              <w:t>здатність творчо підходити до розв’язання проблем і задач;</w:t>
            </w:r>
            <w:r w:rsidR="00AA7AF3" w:rsidRPr="00AA7A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2E57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здатність конструктивно керувати емоціями;</w:t>
            </w:r>
            <w:r w:rsidR="00AA7AF3" w:rsidRPr="00AA7A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здатність оцінювати ризики та приймати відповідальні рішення;</w:t>
            </w:r>
            <w:r w:rsidR="00AA7AF3" w:rsidRPr="00AA7A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здатність співпрацювати з іншими суб’єктами освітнього процесу</w:t>
            </w:r>
            <w:r w:rsidR="00AA7AF3" w:rsidRPr="00AA7A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  <w:p w:rsidR="00ED4EC6" w:rsidRPr="002E5736" w:rsidRDefault="00ED4EC6" w:rsidP="00123DEA">
            <w:pPr>
              <w:pStyle w:val="LO-normal"/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573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Фахові:</w:t>
            </w:r>
          </w:p>
          <w:p w:rsidR="00ED4EC6" w:rsidRPr="002E5736" w:rsidRDefault="00ED4EC6" w:rsidP="00123DEA">
            <w:pPr>
              <w:pStyle w:val="LO-normal"/>
              <w:widowControl w:val="0"/>
              <w:tabs>
                <w:tab w:val="left" w:pos="709"/>
              </w:tabs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E5736">
              <w:rPr>
                <w:rFonts w:ascii="Times New Roman" w:eastAsia="Times New Roman" w:hAnsi="Times New Roman" w:cs="Times New Roman"/>
                <w:sz w:val="18"/>
                <w:szCs w:val="18"/>
              </w:rPr>
              <w:t>– здатність планувати і здійснювати освітню діяльність;</w:t>
            </w:r>
            <w:r w:rsidR="00AA7AF3" w:rsidRPr="00AA7A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eastAsia="Times New Roman" w:hAnsi="Times New Roman" w:cs="Times New Roman"/>
                <w:sz w:val="18"/>
                <w:szCs w:val="18"/>
              </w:rPr>
              <w:t>здатність проводити педагогічні дослідження; здатність надавати методичну допомогу колегам;</w:t>
            </w:r>
            <w:r w:rsidR="00AA7AF3" w:rsidRPr="00AA7A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здатність узагальнити власний педагогічний досвід;</w:t>
            </w:r>
            <w:r w:rsidR="00AA7AF3" w:rsidRPr="00AA7A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eastAsia="Times New Roman" w:hAnsi="Times New Roman" w:cs="Times New Roman"/>
                <w:sz w:val="18"/>
                <w:szCs w:val="18"/>
              </w:rPr>
              <w:t>здатність оцінити результати власної діяльності; здатність формувати в здобувачів освіти ключові та предметні компетентності;</w:t>
            </w:r>
            <w:r w:rsidR="00AA7AF3" w:rsidRPr="00AA7A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здатність створювати безпечне інклюзивне освітнє середовище;</w:t>
            </w:r>
            <w:r w:rsidR="00AA7AF3" w:rsidRPr="00AA7A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eastAsia="Times New Roman" w:hAnsi="Times New Roman" w:cs="Times New Roman"/>
                <w:sz w:val="18"/>
                <w:szCs w:val="18"/>
              </w:rPr>
              <w:t>здатність використовувати інформаційно-комунікативні та цифрові технології в освітньому процесі;</w:t>
            </w:r>
            <w:r w:rsidR="00AA7AF3" w:rsidRPr="00AA7A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eastAsia="Times New Roman" w:hAnsi="Times New Roman"/>
                <w:sz w:val="18"/>
                <w:szCs w:val="18"/>
              </w:rPr>
              <w:t>здатність</w:t>
            </w:r>
            <w:r w:rsidR="00AA7AF3" w:rsidRPr="00AA7AF3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eastAsia="Times New Roman" w:hAnsi="Times New Roman"/>
                <w:sz w:val="18"/>
                <w:szCs w:val="18"/>
              </w:rPr>
              <w:t>розвивати</w:t>
            </w:r>
            <w:r w:rsidR="00AA7AF3" w:rsidRPr="00AA7AF3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eastAsia="Times New Roman" w:hAnsi="Times New Roman"/>
                <w:sz w:val="18"/>
                <w:szCs w:val="18"/>
              </w:rPr>
              <w:t>професійні</w:t>
            </w:r>
            <w:r w:rsidR="00AA7AF3" w:rsidRPr="00AA7AF3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eastAsia="Times New Roman" w:hAnsi="Times New Roman"/>
                <w:sz w:val="18"/>
                <w:szCs w:val="18"/>
              </w:rPr>
              <w:t>компетентності</w:t>
            </w:r>
            <w:r w:rsidR="00E41A30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</w:tr>
      <w:tr w:rsidR="00ED4EC6" w:rsidRPr="002E5736" w:rsidTr="000F6EEC">
        <w:trPr>
          <w:gridAfter w:val="1"/>
          <w:wAfter w:w="9" w:type="dxa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C6" w:rsidRPr="002E5736" w:rsidRDefault="00ED4EC6" w:rsidP="000F6E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E5736">
              <w:rPr>
                <w:rFonts w:ascii="Times New Roman" w:hAnsi="Times New Roman"/>
                <w:sz w:val="18"/>
                <w:szCs w:val="18"/>
              </w:rPr>
              <w:t>Строки виконання</w:t>
            </w:r>
            <w:r w:rsidR="00AA7AF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hAnsi="Times New Roman"/>
                <w:sz w:val="18"/>
                <w:szCs w:val="18"/>
              </w:rPr>
              <w:t>програми</w:t>
            </w:r>
          </w:p>
        </w:tc>
        <w:tc>
          <w:tcPr>
            <w:tcW w:w="8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C6" w:rsidRPr="002E5736" w:rsidRDefault="00ED4EC6" w:rsidP="000F6E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E5736">
              <w:rPr>
                <w:rFonts w:ascii="Times New Roman" w:hAnsi="Times New Roman"/>
                <w:sz w:val="18"/>
                <w:szCs w:val="18"/>
              </w:rPr>
              <w:t>Упродовж двох тижнів відповідно до плану-графіку</w:t>
            </w:r>
          </w:p>
        </w:tc>
      </w:tr>
      <w:tr w:rsidR="00ED4EC6" w:rsidRPr="002E5736" w:rsidTr="00123DEA">
        <w:trPr>
          <w:gridAfter w:val="1"/>
          <w:wAfter w:w="9" w:type="dxa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C6" w:rsidRPr="002E5736" w:rsidRDefault="00ED4EC6" w:rsidP="000F6E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E5736">
              <w:rPr>
                <w:rFonts w:ascii="Times New Roman" w:hAnsi="Times New Roman"/>
                <w:sz w:val="18"/>
                <w:szCs w:val="18"/>
              </w:rPr>
              <w:t>Місце</w:t>
            </w:r>
            <w:r w:rsidR="00AA7AF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hAnsi="Times New Roman"/>
                <w:sz w:val="18"/>
                <w:szCs w:val="18"/>
              </w:rPr>
              <w:t>виконання</w:t>
            </w:r>
            <w:r w:rsidR="00AA7AF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hAnsi="Times New Roman"/>
                <w:sz w:val="18"/>
                <w:szCs w:val="18"/>
              </w:rPr>
              <w:t>програми</w:t>
            </w:r>
          </w:p>
        </w:tc>
        <w:tc>
          <w:tcPr>
            <w:tcW w:w="8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C6" w:rsidRPr="002E5736" w:rsidRDefault="00123DEA" w:rsidP="000F6E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Прикарпатський національний університет імені Василя Стефаника</w:t>
            </w:r>
          </w:p>
        </w:tc>
      </w:tr>
      <w:tr w:rsidR="00123DEA" w:rsidRPr="002E5736" w:rsidTr="000F6EEC">
        <w:trPr>
          <w:gridAfter w:val="1"/>
          <w:wAfter w:w="9" w:type="dxa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DEA" w:rsidRPr="002E5736" w:rsidRDefault="00123DEA" w:rsidP="00123D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E5736">
              <w:rPr>
                <w:rFonts w:ascii="Times New Roman" w:hAnsi="Times New Roman"/>
                <w:sz w:val="18"/>
                <w:szCs w:val="18"/>
              </w:rPr>
              <w:t>Вартість</w:t>
            </w:r>
          </w:p>
        </w:tc>
        <w:tc>
          <w:tcPr>
            <w:tcW w:w="8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DEA" w:rsidRPr="008C76F8" w:rsidRDefault="00123DEA" w:rsidP="00123D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C76F8">
              <w:rPr>
                <w:rFonts w:ascii="Times New Roman" w:hAnsi="Times New Roman" w:cs="Times New Roman"/>
                <w:sz w:val="18"/>
                <w:szCs w:val="18"/>
              </w:rPr>
              <w:t xml:space="preserve">Освітні послуги надаються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 рахунок освітньої субвенції Кабінету Міністрів  України</w:t>
            </w:r>
          </w:p>
        </w:tc>
      </w:tr>
      <w:tr w:rsidR="00123DEA" w:rsidRPr="002E5736" w:rsidTr="000F6EEC">
        <w:trPr>
          <w:gridAfter w:val="1"/>
          <w:wAfter w:w="9" w:type="dxa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DEA" w:rsidRPr="002E5736" w:rsidRDefault="00123DEA" w:rsidP="00123D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E5736">
              <w:rPr>
                <w:rFonts w:ascii="Times New Roman" w:hAnsi="Times New Roman"/>
                <w:sz w:val="18"/>
                <w:szCs w:val="18"/>
              </w:rPr>
              <w:t>Графік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hAnsi="Times New Roman"/>
                <w:sz w:val="18"/>
                <w:szCs w:val="18"/>
              </w:rPr>
              <w:t>освітнього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hAnsi="Times New Roman"/>
                <w:sz w:val="18"/>
                <w:szCs w:val="18"/>
              </w:rPr>
              <w:t>процесу</w:t>
            </w:r>
          </w:p>
        </w:tc>
        <w:tc>
          <w:tcPr>
            <w:tcW w:w="8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DEA" w:rsidRPr="008C76F8" w:rsidRDefault="00123DEA" w:rsidP="00756C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Затверджується проректором з науково-педагогічної </w:t>
            </w:r>
            <w:r w:rsidR="00756CF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роботи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Прикарпатського національного університету імені Василя Стефаника</w:t>
            </w:r>
          </w:p>
        </w:tc>
      </w:tr>
      <w:tr w:rsidR="00ED4EC6" w:rsidRPr="002E5736" w:rsidTr="000F6EEC">
        <w:trPr>
          <w:gridAfter w:val="1"/>
          <w:wAfter w:w="9" w:type="dxa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C6" w:rsidRPr="002E5736" w:rsidRDefault="00ED4EC6" w:rsidP="000F6E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E5736">
              <w:rPr>
                <w:rFonts w:ascii="Times New Roman" w:hAnsi="Times New Roman"/>
                <w:sz w:val="18"/>
                <w:szCs w:val="18"/>
              </w:rPr>
              <w:t>Документ, що</w:t>
            </w:r>
            <w:r w:rsidR="00AA7AF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hAnsi="Times New Roman"/>
                <w:sz w:val="18"/>
                <w:szCs w:val="18"/>
              </w:rPr>
              <w:t>видається за результатами підвищення</w:t>
            </w:r>
            <w:r w:rsidR="00AA7AF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E5736">
              <w:rPr>
                <w:rFonts w:ascii="Times New Roman" w:hAnsi="Times New Roman"/>
                <w:sz w:val="18"/>
                <w:szCs w:val="18"/>
              </w:rPr>
              <w:t>кваліфікації</w:t>
            </w:r>
          </w:p>
        </w:tc>
        <w:tc>
          <w:tcPr>
            <w:tcW w:w="8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C6" w:rsidRPr="002E5736" w:rsidRDefault="00123DEA" w:rsidP="000F6E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Свідоцтво</w:t>
            </w:r>
          </w:p>
        </w:tc>
      </w:tr>
    </w:tbl>
    <w:p w:rsidR="00ED4EC6" w:rsidRPr="002E5736" w:rsidRDefault="00ED4EC6" w:rsidP="00ED4EC6">
      <w:pPr>
        <w:rPr>
          <w:sz w:val="18"/>
          <w:szCs w:val="18"/>
        </w:rPr>
      </w:pPr>
    </w:p>
    <w:p w:rsidR="0061741A" w:rsidRPr="002E5736" w:rsidRDefault="0061741A">
      <w:pPr>
        <w:rPr>
          <w:sz w:val="18"/>
          <w:szCs w:val="18"/>
        </w:rPr>
      </w:pPr>
    </w:p>
    <w:sectPr w:rsidR="0061741A" w:rsidRPr="002E5736" w:rsidSect="005610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16CF"/>
    <w:multiLevelType w:val="hybridMultilevel"/>
    <w:tmpl w:val="9E20D184"/>
    <w:lvl w:ilvl="0" w:tplc="6A860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E063E6"/>
    <w:multiLevelType w:val="hybridMultilevel"/>
    <w:tmpl w:val="36E2D8FC"/>
    <w:lvl w:ilvl="0" w:tplc="E29C0F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EC6"/>
    <w:rsid w:val="0005081D"/>
    <w:rsid w:val="00123DEA"/>
    <w:rsid w:val="002E5736"/>
    <w:rsid w:val="002F5B53"/>
    <w:rsid w:val="0061741A"/>
    <w:rsid w:val="006B00F6"/>
    <w:rsid w:val="006B3C1B"/>
    <w:rsid w:val="00756CFC"/>
    <w:rsid w:val="007D282F"/>
    <w:rsid w:val="00821010"/>
    <w:rsid w:val="008775EA"/>
    <w:rsid w:val="00AA68E1"/>
    <w:rsid w:val="00AA7AF3"/>
    <w:rsid w:val="00B1087E"/>
    <w:rsid w:val="00BC1D6B"/>
    <w:rsid w:val="00D473E3"/>
    <w:rsid w:val="00E41A30"/>
    <w:rsid w:val="00E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F028A-2ECE-46FC-A40B-D59B0F7D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ED4EC6"/>
    <w:pPr>
      <w:suppressAutoHyphens/>
      <w:spacing w:after="0" w:line="240" w:lineRule="auto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11">
    <w:name w:val="Заголовок 11"/>
    <w:basedOn w:val="a"/>
    <w:qFormat/>
    <w:rsid w:val="00ED4EC6"/>
    <w:pPr>
      <w:widowControl w:val="0"/>
      <w:suppressAutoHyphens/>
      <w:autoSpaceDE w:val="0"/>
      <w:spacing w:after="0" w:line="240" w:lineRule="auto"/>
      <w:ind w:left="1302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zh-CN" w:bidi="uk-UA"/>
    </w:rPr>
  </w:style>
  <w:style w:type="paragraph" w:customStyle="1" w:styleId="TableParagraph">
    <w:name w:val="Table Paragraph"/>
    <w:basedOn w:val="a"/>
    <w:uiPriority w:val="1"/>
    <w:qFormat/>
    <w:rsid w:val="00ED4E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a3">
    <w:name w:val="List Paragraph"/>
    <w:basedOn w:val="a"/>
    <w:uiPriority w:val="34"/>
    <w:qFormat/>
    <w:rsid w:val="00ED4EC6"/>
    <w:pPr>
      <w:ind w:left="720"/>
      <w:contextualSpacing/>
    </w:pPr>
  </w:style>
  <w:style w:type="paragraph" w:customStyle="1" w:styleId="12">
    <w:name w:val="Заголовок 12"/>
    <w:basedOn w:val="a"/>
    <w:rsid w:val="00AA7AF3"/>
    <w:pPr>
      <w:widowControl w:val="0"/>
      <w:suppressAutoHyphens/>
      <w:autoSpaceDE w:val="0"/>
      <w:spacing w:after="0" w:line="240" w:lineRule="auto"/>
      <w:ind w:left="1302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zh-CN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94C78-41A4-48CF-8DEE-B72BAB54F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4312</Words>
  <Characters>2458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6757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Неттбукк</dc:creator>
  <cp:lastModifiedBy>Admin</cp:lastModifiedBy>
  <cp:revision>4</cp:revision>
  <dcterms:created xsi:type="dcterms:W3CDTF">2021-06-12T12:29:00Z</dcterms:created>
  <dcterms:modified xsi:type="dcterms:W3CDTF">2021-06-13T10:10:00Z</dcterms:modified>
</cp:coreProperties>
</file>