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036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567"/>
        <w:gridCol w:w="143"/>
        <w:gridCol w:w="6237"/>
        <w:gridCol w:w="1317"/>
        <w:gridCol w:w="9"/>
      </w:tblGrid>
      <w:tr w:rsidR="00995BC4" w:rsidRPr="00652E4E" w:rsidTr="00F27264">
        <w:tc>
          <w:tcPr>
            <w:tcW w:w="103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Опис</w:t>
            </w:r>
            <w:r w:rsidR="00652E4E"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 підвищення</w:t>
            </w:r>
            <w:r w:rsidR="00652E4E"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кваліфікації вчителів англійської мови </w:t>
            </w:r>
          </w:p>
          <w:p w:rsidR="00652E4E" w:rsidRPr="00652E4E" w:rsidRDefault="00652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</w:tr>
      <w:tr w:rsidR="00995BC4" w:rsidRPr="00A97FE1" w:rsidTr="00F2726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Найменування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 w:rsidRPr="00652E4E">
              <w:rPr>
                <w:b w:val="0"/>
                <w:sz w:val="18"/>
                <w:szCs w:val="18"/>
              </w:rPr>
              <w:t>Програма підвищення кваліфікації вчителів англійської мови</w:t>
            </w:r>
          </w:p>
        </w:tc>
      </w:tr>
      <w:tr w:rsidR="00995BC4" w:rsidRPr="00652E4E" w:rsidTr="00F2726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Мета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Удосконалення ключових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межах професійної діяльності з урахуванням вимог професійного стандарту та стандарту освіти у галузі «Іноземні мови»</w:t>
            </w:r>
          </w:p>
        </w:tc>
      </w:tr>
      <w:tr w:rsidR="00995BC4" w:rsidRPr="00A97FE1" w:rsidTr="00F2726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Напрям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Підвищення кваліфікації фахівців за спеціальністю: </w:t>
            </w:r>
            <w:r w:rsidR="00430405">
              <w:rPr>
                <w:rFonts w:ascii="Times New Roman" w:hAnsi="Times New Roman"/>
                <w:sz w:val="18"/>
                <w:szCs w:val="18"/>
                <w:lang w:eastAsia="en-US"/>
              </w:rPr>
              <w:t>014.02 Середня освіта (Англійська мова і література)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</w:t>
            </w:r>
            <w:r w:rsidR="00A97FE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Навчальні</w:t>
            </w:r>
            <w:r w:rsidR="0081276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модулі для конструювання</w:t>
            </w:r>
            <w:r w:rsidR="0081276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освітньої</w:t>
            </w:r>
            <w:r w:rsidR="0081276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№ з/п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Назва модуля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К-сть год у модулі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b/>
                <w:sz w:val="18"/>
                <w:szCs w:val="18"/>
                <w:lang w:val="uk-UA"/>
              </w:rPr>
            </w:pPr>
            <w:r w:rsidRPr="00652E4E">
              <w:rPr>
                <w:b/>
                <w:sz w:val="18"/>
                <w:szCs w:val="18"/>
                <w:lang w:val="uk-UA"/>
              </w:rPr>
              <w:t xml:space="preserve">Модуль 1. Світоглядні основи професійного розвитку педагога. </w:t>
            </w:r>
          </w:p>
          <w:p w:rsidR="00995BC4" w:rsidRPr="00652E4E" w:rsidRDefault="00995BC4" w:rsidP="00430405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sz w:val="18"/>
                <w:szCs w:val="18"/>
                <w:lang w:val="uk-UA"/>
              </w:rPr>
            </w:pPr>
            <w:r w:rsidRPr="00652E4E">
              <w:rPr>
                <w:b/>
                <w:sz w:val="18"/>
                <w:szCs w:val="18"/>
                <w:lang w:val="uk-UA"/>
              </w:rPr>
              <w:t>Змістовні лінії:</w:t>
            </w:r>
          </w:p>
          <w:p w:rsidR="00995BC4" w:rsidRPr="00652E4E" w:rsidRDefault="00995BC4" w:rsidP="00430405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652E4E">
              <w:rPr>
                <w:sz w:val="18"/>
                <w:szCs w:val="18"/>
                <w:lang w:val="uk-UA"/>
              </w:rPr>
              <w:t xml:space="preserve">Державна стратегія розвитку освіти. «Законодавче забезпечення системи освіти та професійного розвитку педагога в Україні. </w:t>
            </w:r>
          </w:p>
          <w:p w:rsidR="00995BC4" w:rsidRPr="00652E4E" w:rsidRDefault="00995BC4" w:rsidP="00430405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652E4E">
              <w:rPr>
                <w:sz w:val="18"/>
                <w:szCs w:val="18"/>
                <w:lang w:val="uk-UA"/>
              </w:rPr>
              <w:t>Здорове і безпечне середовище закладу освіти – складова професійного благополуччя і розвитку.</w:t>
            </w:r>
          </w:p>
          <w:p w:rsidR="00995BC4" w:rsidRPr="00652E4E" w:rsidRDefault="00995BC4" w:rsidP="00430405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b/>
                <w:sz w:val="18"/>
                <w:szCs w:val="18"/>
                <w:lang w:val="ru-RU"/>
              </w:rPr>
            </w:pPr>
            <w:r w:rsidRPr="00652E4E">
              <w:rPr>
                <w:sz w:val="18"/>
                <w:szCs w:val="18"/>
                <w:lang w:val="uk-UA"/>
              </w:rPr>
              <w:t>Ціннісні та діяльнісні засади професійного розвитку педагога.</w:t>
            </w:r>
          </w:p>
          <w:p w:rsidR="00995BC4" w:rsidRPr="00652E4E" w:rsidRDefault="00995BC4" w:rsidP="00430405">
            <w:pPr>
              <w:pStyle w:val="a3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Мовленнєва</w:t>
            </w:r>
            <w:r w:rsidR="008127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компетентність педагога.</w:t>
            </w:r>
          </w:p>
          <w:p w:rsidR="00995BC4" w:rsidRPr="00652E4E" w:rsidRDefault="00995BC4" w:rsidP="00430405">
            <w:pPr>
              <w:pStyle w:val="a3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Інфомедійна</w:t>
            </w:r>
            <w:proofErr w:type="spellEnd"/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грамотність як ключова компетенція </w:t>
            </w:r>
            <w:proofErr w:type="spellStart"/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діджиталізованого</w:t>
            </w:r>
            <w:proofErr w:type="spellEnd"/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суспільства та головна умова якісної освіти.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pStyle w:val="TableParagraph"/>
              <w:spacing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652E4E">
              <w:rPr>
                <w:b/>
                <w:sz w:val="18"/>
                <w:szCs w:val="18"/>
                <w:lang w:val="uk-UA"/>
              </w:rPr>
              <w:t>10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2. Психологія, педагогіка та інклюзивна освіта</w:t>
            </w:r>
          </w:p>
          <w:p w:rsidR="00995BC4" w:rsidRPr="00652E4E" w:rsidRDefault="00995BC4" w:rsidP="00430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Змістовні лінії:</w:t>
            </w:r>
          </w:p>
          <w:p w:rsidR="00995BC4" w:rsidRPr="00652E4E" w:rsidRDefault="00995BC4" w:rsidP="0043040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1. Основи інклюзивного навчання; діти з особливими потребами: особливості навчання та розвитку, психолого-педагогічні умови їх підтримки в освітньому процесі; універсальний дизайн в освіті.</w:t>
            </w:r>
          </w:p>
          <w:p w:rsidR="00995BC4" w:rsidRPr="00652E4E" w:rsidRDefault="00995BC4" w:rsidP="0043040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Створення безпечного освітнього середовища: профілактика та подолання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булінгу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шкільного насилля у закладах освіти; сучасні проблеми адаптації та соціалізації особистості; формування соціальних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особистості в процесі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нейроменеджменту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  <w:p w:rsidR="00995BC4" w:rsidRPr="00652E4E" w:rsidRDefault="00995BC4" w:rsidP="0043040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Педагогіка партнерства: взаємодія з батьками; педагогіка партнерства та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компетентнісний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підхід у роботі вчителя; педагогічний супровід талановитих дітей; розвиток емоційної компетентності педагога.</w:t>
            </w:r>
          </w:p>
          <w:p w:rsidR="00995BC4" w:rsidRPr="00652E4E" w:rsidRDefault="00995BC4" w:rsidP="0043040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4. Розвиток психологічної компетентності педагога: психологічні особливості розвитку дитини на різних вікових етапах; стратегії і тактики попередження професійного стресу; психологія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тімбілдінгу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командотворення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); психодіагностика особистості учня, психологія класного менеджменту.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10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3. Організаційно-методичні засади розвитку професійної  компетентності вчителя</w:t>
            </w:r>
            <w:r w:rsidRPr="00652E4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995BC4" w:rsidRPr="00652E4E" w:rsidRDefault="00995BC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Змістовні лінії</w:t>
            </w:r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40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AB526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Інформаційні, цифрові технології в освітньому процесі, Е-навчання, </w:t>
            </w:r>
            <w:proofErr w:type="spellStart"/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кібербезпека</w:t>
            </w:r>
            <w:proofErr w:type="spellEnd"/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, тощо.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AB526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Професійні компетентності (знання предмета, фахових методик, технологій).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430405" w:rsidRDefault="00CB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30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Державна освітня політика в галузі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«Мови та літератури»</w:t>
            </w:r>
          </w:p>
          <w:p w:rsidR="00995BC4" w:rsidRPr="00652E4E" w:rsidRDefault="00995BC4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(іноземна мова). Програмно-методичне та навчально-методичне забезпечення викладання іноземної мови в закладах загальної середньої освіти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Рецептивні види мовленнєвої діяльності здобувачів освіти: сприймання на слух та зорове сприймання.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Навчально – пізнавальна діяльність учнів: усне продукування та взаємодія.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Формування навичок писемного продукування та взаємодії.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Розвиток лінгвістичного діапазону здобувачів освіти: фонологічного, лексичного, граматичного (лексичний метод /</w:t>
            </w:r>
            <w:proofErr w:type="spellStart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LexicalApproach</w:t>
            </w:r>
            <w:proofErr w:type="spellEnd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 метод функцій /</w:t>
            </w:r>
            <w:proofErr w:type="spellStart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FunctionalApproach</w:t>
            </w:r>
            <w:proofErr w:type="spellEnd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 граматико-перекладний підхід /Grammar-TranslationApproach).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Ефективні педагогічні технології навчання іноземної мови:</w:t>
            </w:r>
            <w:r w:rsidR="004304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Task-basedlearning</w:t>
            </w:r>
            <w:proofErr w:type="spellEnd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/навчання, що базується на завданнях;</w:t>
            </w:r>
            <w:r w:rsidR="004304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Presentation-Practice-Production</w:t>
            </w:r>
            <w:proofErr w:type="spellEnd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представлення-практика-продукування;CommunicativeApproaches</w:t>
            </w:r>
            <w:proofErr w:type="spellEnd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,/ комунікативні методи; </w:t>
            </w:r>
            <w:proofErr w:type="spellStart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Guideddiscovery</w:t>
            </w:r>
            <w:proofErr w:type="spellEnd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 сугестивне відкриття; навчання, Content-basedlearning / навчання, що базується на змісті; </w:t>
            </w:r>
            <w:r w:rsidRPr="00652E4E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scaffolding</w:t>
            </w: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 </w:t>
            </w:r>
            <w:proofErr w:type="spellStart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скафолдінг</w:t>
            </w:r>
            <w:proofErr w:type="spellEnd"/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Загальноєвропейські </w:t>
            </w:r>
            <w:r w:rsidR="00430405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екомендації з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мовної</w:t>
            </w:r>
            <w:proofErr w:type="spellEnd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освіти: вивчення, викладання, оцінювання. Процеси вивчення та викладання мови.</w:t>
            </w:r>
            <w:r w:rsidR="008127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Європейське</w:t>
            </w:r>
            <w:r w:rsidR="008127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мовне</w:t>
            </w:r>
            <w:proofErr w:type="spellEnd"/>
            <w:r w:rsidR="008127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портфоліо як інструмент</w:t>
            </w:r>
            <w:r w:rsidR="008127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впровадження</w:t>
            </w:r>
            <w:r w:rsidR="008127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мовної</w:t>
            </w:r>
            <w:r w:rsidR="008127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політики Ради Європи.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Моніторинг та види оцінювання навчальних досягнень учнів. Формувальне оцінювання як інтерактивне оцінювання учнівського прогресу.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95BC4"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.2.9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430405">
            <w:pPr>
              <w:pStyle w:val="a3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Практика.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Тематична конференція</w:t>
            </w:r>
            <w:r w:rsidRPr="00652E4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 Науково-методологічні осмислення та рефлексії особистого педагогічного досвіду.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Разом годин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CB0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60</w:t>
            </w:r>
          </w:p>
        </w:tc>
      </w:tr>
      <w:tr w:rsidR="00995BC4" w:rsidRPr="00652E4E" w:rsidTr="00F27264">
        <w:trPr>
          <w:gridAfter w:val="1"/>
          <w:wAfter w:w="9" w:type="dxa"/>
          <w:trHeight w:val="3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</w:tr>
      <w:tr w:rsidR="00995BC4" w:rsidRPr="00652E4E" w:rsidTr="00F27264">
        <w:trPr>
          <w:gridAfter w:val="1"/>
          <w:wAfter w:w="9" w:type="dxa"/>
          <w:trHeight w:val="37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5BC4" w:rsidRPr="00652E4E" w:rsidRDefault="00995BC4">
            <w:pPr>
              <w:spacing w:after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BC4" w:rsidRPr="00652E4E" w:rsidRDefault="00995BC4">
            <w:pPr>
              <w:spacing w:after="0" w:line="240" w:lineRule="auto"/>
              <w:rPr>
                <w:rFonts w:eastAsiaTheme="minorHAnsi" w:cs="Times New Roman"/>
                <w:sz w:val="18"/>
                <w:szCs w:val="18"/>
                <w:lang w:eastAsia="en-US"/>
              </w:rPr>
            </w:pPr>
          </w:p>
        </w:tc>
      </w:tr>
      <w:tr w:rsidR="00995BC4" w:rsidRPr="00812760" w:rsidTr="00F27264"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 за програмою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підвищення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кваліфікації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завершується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тематичною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конференцією за участю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науково-педагогічних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працівників та керівників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курсів (не більше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трьох</w:t>
            </w:r>
            <w:r w:rsidR="0081276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осіб на одну групу). Тематична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конференція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передбачає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обговорення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проблемних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питань, результатів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навчання, виконання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індивідуальних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завдань слухачами курсів за змістом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загальних та методичних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модулів, передбачених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навчальною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програмою, отримання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зворотного</w:t>
            </w:r>
            <w:r w:rsidR="00D51D0A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зв’язку. 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F27264" w:rsidRDefault="00995BC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Обсяг</w:t>
            </w:r>
            <w:r w:rsidR="00D51D0A"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43040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кредитів ЄКТС (60 год)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F27264" w:rsidRDefault="00995BC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Форма підвищення</w:t>
            </w:r>
            <w:r w:rsidR="00D51D0A"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кваліфікації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Очна заочна, дистанційна відповідно до формату курсів і робочого навчального плану.</w:t>
            </w:r>
          </w:p>
        </w:tc>
      </w:tr>
      <w:tr w:rsidR="00995BC4" w:rsidRPr="00A97FE1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F27264" w:rsidRDefault="00995B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Перелік </w:t>
            </w:r>
            <w:proofErr w:type="spellStart"/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, що набуваються/</w:t>
            </w:r>
          </w:p>
          <w:p w:rsidR="00995BC4" w:rsidRPr="00F27264" w:rsidRDefault="00995BC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удосконалюються (загальні, фахові тощо)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 w:rsidP="00F27264">
            <w:pPr>
              <w:pStyle w:val="LO-normal"/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E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Особистісно професійні:</w:t>
            </w:r>
          </w:p>
          <w:p w:rsidR="00995BC4" w:rsidRPr="00A97FE1" w:rsidRDefault="00995BC4" w:rsidP="00F27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–здатність здійснювати</w:t>
            </w:r>
            <w:r w:rsidR="00D51D0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цілепокладання та рефлексію;</w:t>
            </w:r>
            <w:r w:rsidR="00D51D0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з</w:t>
            </w:r>
            <w:r w:rsidRPr="00A97FE1">
              <w:rPr>
                <w:rFonts w:ascii="Times New Roman" w:eastAsia="Times New Roman" w:hAnsi="Times New Roman" w:cs="Times New Roman"/>
                <w:sz w:val="18"/>
                <w:szCs w:val="18"/>
              </w:rPr>
              <w:t>датність виявляти власне ціннісно-смислове ставлення до діяльності;</w:t>
            </w:r>
            <w:r w:rsidR="00D51D0A" w:rsidRPr="00A97F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97FE1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саморозвитку та самореалізації</w:t>
            </w:r>
          </w:p>
          <w:p w:rsidR="00995BC4" w:rsidRPr="00652E4E" w:rsidRDefault="00995BC4" w:rsidP="00F27264">
            <w:pPr>
              <w:pStyle w:val="LO-normal"/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2E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Загальнопедагогічні</w:t>
            </w:r>
            <w:proofErr w:type="spellEnd"/>
            <w:r w:rsidRPr="00652E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995BC4" w:rsidRPr="00D51D0A" w:rsidRDefault="00995BC4" w:rsidP="00F27264">
            <w:pPr>
              <w:pStyle w:val="LO-normal"/>
              <w:widowControl w:val="0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</w:rPr>
              <w:t>– здатність розуміти нормативно-правові документи, науково-методичну літературу;</w:t>
            </w:r>
            <w:r w:rsidR="00D51D0A"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висловлювати та обґрунтовувати власну думку усно і письмово;  здатність мислити системно й критично;</w:t>
            </w:r>
            <w:r w:rsidR="00D51D0A"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проявляти ініціативу та логічно обґрунтовувати позицію; </w:t>
            </w:r>
            <w:r w:rsidR="00D51D0A"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творчо підходити до розв’язання проблем і задач;</w:t>
            </w:r>
            <w:r w:rsidR="00D51D0A"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конструктивно керувати емоціями;</w:t>
            </w:r>
            <w:r w:rsidR="00D51D0A"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оцінювати ризики та приймати відповідальні рішення;</w:t>
            </w:r>
            <w:r w:rsidR="00D51D0A"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співпрацювати з іншими суб’єктами освітнього процесу</w:t>
            </w:r>
            <w:r w:rsidR="00D51D0A"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95BC4" w:rsidRPr="00652E4E" w:rsidRDefault="00995BC4" w:rsidP="00F27264">
            <w:pPr>
              <w:pStyle w:val="LO-normal"/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2E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Фахові:</w:t>
            </w:r>
          </w:p>
          <w:p w:rsidR="00995BC4" w:rsidRPr="00652E4E" w:rsidRDefault="00995BC4" w:rsidP="00F27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– здатність </w:t>
            </w:r>
            <w:r w:rsidRPr="00CB098B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розуміти</w:t>
            </w:r>
            <w:r w:rsidR="00D51D0A" w:rsidRPr="00CB098B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B098B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цілі щодо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професійного розвитку та шляхи їх досягнення;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здійснювати наставництво та консультувати інших учителів;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робити внесок у розвиток професії шляхом написання статей, розроблення навчальних матеріалів,участі у фахових форумах або мережах і через проведення практичних семінарів;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демонструвати академічні знання аспектів мови, якої навчають, і адекватно їх застосовувати;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виявляти високий рівень чутливості, творчості, майстерності у наданні точної та відповідної інформації про поняття, вміння, аспекти мови, маючи на увазі конкретні результати учіння;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аналізувати результативність власної діяльності та діяльності учнів на уроці задля кращого розуміння ефективного оцінювання; ділитися власним досвідом з колегами;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с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творювати середовище в класі, в якому активно підтримуються учні з різними навчальними потребами та рівнем підготовленості;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заохочувати учнів до планування їхнього учіння, моніторингу власних досягнень і </w:t>
            </w:r>
            <w:proofErr w:type="spellStart"/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самооцінювання</w:t>
            </w:r>
            <w:proofErr w:type="spellEnd"/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формувати в здобувачів освіти ключові та предметні компетентності;</w:t>
            </w:r>
            <w:r w:rsid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планувати уроки, глибоко розуміючи та усвідомлюючи відповідні аспекти навчання мови;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використовувати різноманітні навчальні технології в ході уроку відповідно до навчальних ситуацій;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створювати безпечне інклюзивне освітнє середовище;</w:t>
            </w:r>
            <w:r w:rsidR="00D51D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розвивати уміння в галузі онлайн освіти;</w:t>
            </w:r>
            <w:r w:rsidR="00D51D0A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52E4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здатність </w:t>
            </w:r>
            <w:r w:rsidRPr="00652E4E">
              <w:rPr>
                <w:rFonts w:ascii="Times New Roman" w:eastAsia="BritishCouncilSans-Regular" w:hAnsi="Times New Roman" w:cs="Times New Roman"/>
                <w:sz w:val="18"/>
                <w:szCs w:val="18"/>
                <w:lang w:eastAsia="en-US"/>
              </w:rPr>
              <w:t>підтримувати позитивне ставлення до викликів та змін.</w:t>
            </w:r>
          </w:p>
        </w:tc>
      </w:tr>
      <w:tr w:rsidR="00995BC4" w:rsidRPr="00652E4E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F27264" w:rsidRDefault="00995B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Строки виконання</w:t>
            </w:r>
            <w:r w:rsidR="00D51D0A" w:rsidRPr="00F27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27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C4" w:rsidRPr="00652E4E" w:rsidRDefault="00995B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52E4E">
              <w:rPr>
                <w:rFonts w:ascii="Times New Roman" w:hAnsi="Times New Roman"/>
                <w:sz w:val="18"/>
                <w:szCs w:val="18"/>
                <w:lang w:eastAsia="en-US"/>
              </w:rPr>
              <w:t>Упродовж двох тижнів відповідно до плану-графіку</w:t>
            </w:r>
          </w:p>
        </w:tc>
      </w:tr>
      <w:tr w:rsidR="00F27264" w:rsidRPr="00652E4E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Місце виконання 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Прикарпатський національний університет імені Василя Стефаника</w:t>
            </w:r>
          </w:p>
        </w:tc>
      </w:tr>
      <w:tr w:rsidR="00F27264" w:rsidRPr="00652E4E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Вартість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 w:cs="Times New Roman"/>
                <w:sz w:val="18"/>
                <w:szCs w:val="18"/>
              </w:rPr>
              <w:t>Освітні послуги надаються за рахунок освітньої субвенції Кабінету Міністрів  України</w:t>
            </w:r>
          </w:p>
        </w:tc>
      </w:tr>
      <w:tr w:rsidR="00F27264" w:rsidRPr="00652E4E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Графік освітнього процесу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Затверджується проректором з науково-педагогічної діяльності Прикарпатського національного університету імені Василя Стефаника</w:t>
            </w:r>
          </w:p>
        </w:tc>
      </w:tr>
      <w:tr w:rsidR="00F27264" w:rsidRPr="00652E4E" w:rsidTr="00F27264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Документ, що видається за результатами підвищення кваліфікації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2726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Свідоцтво</w:t>
            </w:r>
          </w:p>
          <w:p w:rsidR="00F27264" w:rsidRPr="00F27264" w:rsidRDefault="00F27264" w:rsidP="00F272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995BC4" w:rsidRPr="00652E4E" w:rsidRDefault="00995BC4" w:rsidP="00995BC4">
      <w:pPr>
        <w:rPr>
          <w:sz w:val="18"/>
          <w:szCs w:val="18"/>
        </w:rPr>
      </w:pPr>
    </w:p>
    <w:p w:rsidR="00A346EA" w:rsidRPr="00652E4E" w:rsidRDefault="00A346EA">
      <w:pPr>
        <w:rPr>
          <w:sz w:val="18"/>
          <w:szCs w:val="18"/>
        </w:rPr>
      </w:pPr>
    </w:p>
    <w:sectPr w:rsidR="00A346EA" w:rsidRPr="00652E4E" w:rsidSect="009D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ishCouncil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6CF"/>
    <w:multiLevelType w:val="hybridMultilevel"/>
    <w:tmpl w:val="9E20D184"/>
    <w:lvl w:ilvl="0" w:tplc="6A860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063E6"/>
    <w:multiLevelType w:val="hybridMultilevel"/>
    <w:tmpl w:val="36E2D8FC"/>
    <w:lvl w:ilvl="0" w:tplc="E29C0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C4"/>
    <w:rsid w:val="00165C2C"/>
    <w:rsid w:val="00430405"/>
    <w:rsid w:val="004E5444"/>
    <w:rsid w:val="00517C90"/>
    <w:rsid w:val="00652E4E"/>
    <w:rsid w:val="00682C9F"/>
    <w:rsid w:val="00722680"/>
    <w:rsid w:val="007A4CEA"/>
    <w:rsid w:val="00812760"/>
    <w:rsid w:val="00995BC4"/>
    <w:rsid w:val="009D7666"/>
    <w:rsid w:val="00A346EA"/>
    <w:rsid w:val="00A97FE1"/>
    <w:rsid w:val="00CB098B"/>
    <w:rsid w:val="00D23054"/>
    <w:rsid w:val="00D51D0A"/>
    <w:rsid w:val="00F249C7"/>
    <w:rsid w:val="00F2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7A234-31DB-4028-8E0E-BD38479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C4"/>
    <w:pPr>
      <w:ind w:left="720"/>
      <w:contextualSpacing/>
    </w:pPr>
  </w:style>
  <w:style w:type="paragraph" w:customStyle="1" w:styleId="LO-normal">
    <w:name w:val="LO-normal"/>
    <w:rsid w:val="00995BC4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995BC4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995B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">
    <w:name w:val="Заголовок 12"/>
    <w:basedOn w:val="a"/>
    <w:rsid w:val="00812760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C77C-963C-451A-BE76-9C5E18BB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4653</Words>
  <Characters>2653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Неттбукк</dc:creator>
  <cp:lastModifiedBy>Admin</cp:lastModifiedBy>
  <cp:revision>3</cp:revision>
  <dcterms:created xsi:type="dcterms:W3CDTF">2021-06-13T11:08:00Z</dcterms:created>
  <dcterms:modified xsi:type="dcterms:W3CDTF">2021-06-13T11:35:00Z</dcterms:modified>
</cp:coreProperties>
</file>