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ДВНЗ 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ПРИКАРПАТСЬКИЙ НАЦІОНАЛЬНИЙ УНІВЕРСИТЕТ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СТЕФАНИКА”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туризму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соціокультурною діяльністю, шоу-бізнесу та івентменеджменту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АБУС НАВЧАЛЬНОЇ ДИСЦИПЛІНИ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Державне управління соціокультурною сферою 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E71C5C" w:rsidRPr="00BF3043" w:rsidRDefault="00E71C5C" w:rsidP="00E71C5C">
      <w:pPr>
        <w:tabs>
          <w:tab w:val="left" w:pos="9355"/>
        </w:tabs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Менеджмент соціокультурної діяльності</w:t>
      </w:r>
    </w:p>
    <w:p w:rsidR="00E71C5C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Спеціальність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028 Менеджмент соціокультурної діяльності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E71C5C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Галузь знань 02 Культура і мистецтво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</w:t>
      </w: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управління соціокультурною діяльністю, шоу-бізнесу та івентменеджменту </w:t>
      </w: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 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 вересня 2019 р.</w:t>
      </w:r>
    </w:p>
    <w:p w:rsidR="00E71C5C" w:rsidRPr="00BF3043" w:rsidRDefault="00E71C5C" w:rsidP="00E71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– 2019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E71C5C" w:rsidRPr="00BF3043" w:rsidRDefault="00E71C5C" w:rsidP="00E7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  <w:sectPr w:rsidR="00E71C5C" w:rsidRPr="00BF3043" w:rsidSect="002E354B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C5C" w:rsidRDefault="00E71C5C" w:rsidP="00E71C5C">
      <w:pPr>
        <w:pStyle w:val="a6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1.</w:t>
      </w:r>
      <w:r w:rsidRPr="00E71C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Загальна інформація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Державне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соціокультурною сферою 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Викладач (-і)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Шикеринець Василь Васильович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Контактний телефон викладача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>+38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423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E34A5" w:rsidRPr="00BE34A5" w:rsidRDefault="00E71C5C" w:rsidP="00BE34A5">
      <w:pPr>
        <w:pStyle w:val="a6"/>
        <w:ind w:left="786"/>
        <w:jc w:val="both"/>
        <w:rPr>
          <w:rFonts w:ascii="Times New Roman" w:hAnsi="Times New Roman" w:cs="Times New Roman"/>
          <w:color w:val="2E74B5" w:themeColor="accent1" w:themeShade="BF"/>
          <w:lang w:val="uk-UA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E-mail викладача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hyperlink r:id="rId8" w:history="1"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shykerynets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="00BE34A5" w:rsidRPr="00FB07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vasyl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shykerynets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 xml:space="preserve">@ 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pnu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edu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ua</w:t>
      </w:r>
    </w:p>
    <w:p w:rsidR="00BE34A5" w:rsidRDefault="00E71C5C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Формат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 Цикл професійної підготовки</w:t>
      </w:r>
    </w:p>
    <w:p w:rsidR="00BE34A5" w:rsidRPr="00BE34A5" w:rsidRDefault="00BE34A5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 Обов’язкові дисципліни</w:t>
      </w:r>
    </w:p>
    <w:p w:rsidR="00E71C5C" w:rsidRDefault="00BE34A5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2.1.1 Теоретична підготовка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Обсяг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7C3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E34A5" w:rsidRPr="00FB07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г</w:t>
      </w:r>
      <w:r w:rsidR="007C3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од.; кількість кредитів ECTS – 3</w:t>
      </w:r>
    </w:p>
    <w:p w:rsidR="00BE34A5" w:rsidRDefault="00BE34A5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Посилання на сайт дистанційного навчання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hyperlink r:id="rId9" w:history="1">
        <w:r w:rsidRPr="00BF3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http://www.d-learn.pu.if.ua</w:t>
        </w:r>
      </w:hyperlink>
    </w:p>
    <w:p w:rsidR="00BE34A5" w:rsidRDefault="00BE34A5" w:rsidP="00E71C5C">
      <w:pPr>
        <w:pStyle w:val="a6"/>
        <w:ind w:left="786"/>
        <w:jc w:val="both"/>
        <w:rPr>
          <w:b/>
          <w:bCs/>
          <w:sz w:val="20"/>
          <w:szCs w:val="20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Консультації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BE34A5">
        <w:rPr>
          <w:rFonts w:ascii="Times New Roman" w:hAnsi="Times New Roman" w:cs="Times New Roman"/>
          <w:sz w:val="24"/>
          <w:szCs w:val="24"/>
        </w:rPr>
        <w:t xml:space="preserve">Відповідно до Плану-графіку </w:t>
      </w:r>
      <w:r w:rsidRPr="00BE34A5">
        <w:rPr>
          <w:rFonts w:ascii="Times New Roman" w:hAnsi="Times New Roman" w:cs="Times New Roman"/>
          <w:bCs/>
          <w:sz w:val="24"/>
          <w:szCs w:val="24"/>
        </w:rPr>
        <w:t>консультацій викладачів з дисциплін кафедри</w:t>
      </w:r>
      <w:r>
        <w:rPr>
          <w:b/>
          <w:bCs/>
          <w:sz w:val="20"/>
          <w:szCs w:val="20"/>
        </w:rPr>
        <w:t>.</w:t>
      </w:r>
    </w:p>
    <w:p w:rsidR="00BE34A5" w:rsidRDefault="00BE34A5" w:rsidP="00E71C5C">
      <w:pPr>
        <w:pStyle w:val="a6"/>
        <w:ind w:left="78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34A5" w:rsidRPr="00BF3043" w:rsidRDefault="00BE34A5" w:rsidP="00BE34A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Анотація до курсу</w:t>
      </w:r>
    </w:p>
    <w:p w:rsidR="00146F4A" w:rsidRPr="00146F4A" w:rsidRDefault="00146F4A" w:rsidP="00146F4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46F4A">
        <w:rPr>
          <w:color w:val="000000"/>
        </w:rPr>
        <w:t>Дисципліна «Державне управління</w:t>
      </w:r>
      <w:r>
        <w:rPr>
          <w:color w:val="000000"/>
        </w:rPr>
        <w:t xml:space="preserve"> соціокультурною сферою</w:t>
      </w:r>
      <w:r w:rsidRPr="00146F4A">
        <w:rPr>
          <w:color w:val="000000"/>
        </w:rPr>
        <w:t xml:space="preserve">» відноситься до циклу дисциплін професійної підготовки, які посідають провідне місце у професійній підготовці </w:t>
      </w:r>
      <w:r>
        <w:rPr>
          <w:color w:val="000000"/>
        </w:rPr>
        <w:t xml:space="preserve">менеджера соціокультурної діяльності </w:t>
      </w:r>
      <w:r w:rsidRPr="00146F4A">
        <w:rPr>
          <w:color w:val="000000"/>
        </w:rPr>
        <w:t>та є однією з профілюючих дисциплін.</w:t>
      </w:r>
    </w:p>
    <w:p w:rsidR="00146F4A" w:rsidRPr="00146F4A" w:rsidRDefault="00146F4A" w:rsidP="00146F4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46F4A">
        <w:rPr>
          <w:color w:val="000000"/>
        </w:rPr>
        <w:t>Предметом вивчення навчальної дисципліни є суспільні відносини, які виникають у сфері становлення, розвитку державного управління у внутрішньо-організаційній та зовнішньо-організаційній діяльності його суб’єктів</w:t>
      </w:r>
      <w:r>
        <w:rPr>
          <w:color w:val="000000"/>
        </w:rPr>
        <w:t>.</w:t>
      </w:r>
    </w:p>
    <w:p w:rsidR="00146F4A" w:rsidRPr="00146F4A" w:rsidRDefault="00146F4A" w:rsidP="00146F4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46F4A">
        <w:rPr>
          <w:color w:val="000000"/>
        </w:rPr>
        <w:t>Оволодіння нею дозволить студентам отримати теоретичні знання щодо основних положень науки управління соціальними процесами і організаціями, набути практичних вмінь та навичок для ефективного здійснення управлінської діяльності в органах державного управління, успішного виконання своїх професійних обов’язків, належного рівня надання адміністративних послуг в органах державного управління, забезпечення реалізації та дотримання законних прав та інтересів людини і громадянина крізь призму діяльності органів державного управління тощо.</w:t>
      </w:r>
    </w:p>
    <w:p w:rsidR="00146F4A" w:rsidRDefault="00146F4A" w:rsidP="00146F4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46F4A">
        <w:rPr>
          <w:color w:val="000000"/>
        </w:rPr>
        <w:t>Необхідність засвоєння засад державного управління</w:t>
      </w:r>
      <w:r>
        <w:rPr>
          <w:color w:val="000000"/>
        </w:rPr>
        <w:t xml:space="preserve"> соціокультурною сферою</w:t>
      </w:r>
      <w:r w:rsidRPr="00146F4A">
        <w:rPr>
          <w:color w:val="000000"/>
        </w:rPr>
        <w:t xml:space="preserve"> визначає роль і місце цієї дисципліни в підготовці висококваліфікованих фахівців для роботи в органах державного управління, що дасть змогу підвищити їх громадянську свідомість, рівень виконання своїх професійних обов’язків, у тому числі, надання адміністративних послуг, здійснення управлінської діяльності, спрямованої на задоволення потреб суспільства.</w:t>
      </w:r>
    </w:p>
    <w:p w:rsidR="00146F4A" w:rsidRPr="00146F4A" w:rsidRDefault="00146F4A" w:rsidP="00146F4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3433F">
        <w:t xml:space="preserve">Змістові модулі: </w:t>
      </w:r>
      <w:r w:rsidRPr="00146F4A">
        <w:t>Теоретико-методологічні засади державного управління соціокультурною  сферою в Україні. Нормативно-правове забезпечення управління соціокультурною сферою.</w:t>
      </w:r>
    </w:p>
    <w:p w:rsidR="00146F4A" w:rsidRDefault="00146F4A" w:rsidP="00146F4A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34A5" w:rsidRPr="00146F4A" w:rsidRDefault="00146F4A" w:rsidP="00146F4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F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та цілі курсу</w:t>
      </w:r>
    </w:p>
    <w:p w:rsidR="00146F4A" w:rsidRPr="00146F4A" w:rsidRDefault="00146F4A" w:rsidP="00146F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46F4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дисципліни є формування системи теоретичних знань та прикладних вмінь і навичок щодо методологічного апарату державного управління соціокультурною діяльністю для вирішення конкретних економічних завдань, що виникають у даній сфері.   </w:t>
      </w:r>
    </w:p>
    <w:p w:rsidR="00146F4A" w:rsidRPr="00146F4A" w:rsidRDefault="00146F4A" w:rsidP="00146F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b/>
          <w:sz w:val="24"/>
          <w:szCs w:val="24"/>
          <w:lang w:val="uk-UA"/>
        </w:rPr>
        <w:t>Завданнями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дисципліни "Державне упр</w:t>
      </w:r>
      <w:r w:rsidR="006B0D30">
        <w:rPr>
          <w:rFonts w:ascii="Times New Roman" w:hAnsi="Times New Roman" w:cs="Times New Roman"/>
          <w:sz w:val="24"/>
          <w:szCs w:val="24"/>
          <w:lang w:val="uk-UA"/>
        </w:rPr>
        <w:t>авління соціокультурною  сферою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>" є теоретична та практична підготовка студентів з питань:</w:t>
      </w:r>
    </w:p>
    <w:p w:rsidR="00146F4A" w:rsidRPr="00146F4A" w:rsidRDefault="00146F4A" w:rsidP="00146F4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засвоєння знань щодо ролі держави у розвитку соціокультурної сфери країни та окремих її регіонів; </w:t>
      </w:r>
    </w:p>
    <w:p w:rsidR="00146F4A" w:rsidRPr="00146F4A" w:rsidRDefault="00146F4A" w:rsidP="00146F4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  <w:lang w:val="uk-UA"/>
        </w:rPr>
        <w:t>оволодіння навичками щодо здійснення нормативно-правового, фінансово-економічного, інформаційного та інших видів забезпечення, що реалізується в певних стратегіях розвитку соціокультурної сфери.</w:t>
      </w:r>
    </w:p>
    <w:p w:rsidR="00146F4A" w:rsidRPr="00146F4A" w:rsidRDefault="00146F4A" w:rsidP="00146F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У результаті вивчення навчальної дисципліни студенти повинні </w:t>
      </w:r>
      <w:r w:rsidRPr="00146F4A">
        <w:rPr>
          <w:rFonts w:ascii="Times New Roman" w:hAnsi="Times New Roman" w:cs="Times New Roman"/>
          <w:b/>
          <w:sz w:val="24"/>
          <w:szCs w:val="24"/>
          <w:lang w:val="uk-UA"/>
        </w:rPr>
        <w:t>знати: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>понятійний та категорійний апарат</w:t>
      </w:r>
      <w:r>
        <w:rPr>
          <w:rFonts w:ascii="Times New Roman" w:hAnsi="Times New Roman" w:cs="Times New Roman"/>
          <w:sz w:val="24"/>
          <w:szCs w:val="24"/>
        </w:rPr>
        <w:t xml:space="preserve"> щодо сутності "державне управ</w:t>
      </w:r>
      <w:r w:rsidRPr="00146F4A">
        <w:rPr>
          <w:rFonts w:ascii="Times New Roman" w:hAnsi="Times New Roman" w:cs="Times New Roman"/>
          <w:sz w:val="24"/>
          <w:szCs w:val="24"/>
        </w:rPr>
        <w:t xml:space="preserve">ління", "механізм державного управління";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lastRenderedPageBreak/>
        <w:t xml:space="preserve">основні принципи та підходи до розроблення, прийняття та реалізації державно-управлінських рішень у різних умовах функціонування;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>головні цілі національної стратегії України та засади державної політики в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соціокультурній сфері</w:t>
      </w:r>
      <w:r w:rsidRPr="00146F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>суб'єкти та об'єкти державного управління в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соціокультурній сфері</w:t>
      </w:r>
      <w:r w:rsidRPr="00146F4A">
        <w:rPr>
          <w:rFonts w:ascii="Times New Roman" w:hAnsi="Times New Roman" w:cs="Times New Roman"/>
          <w:sz w:val="24"/>
          <w:szCs w:val="24"/>
        </w:rPr>
        <w:t>, органи державного управління в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соціокультурній </w:t>
      </w:r>
      <w:r w:rsidRPr="00146F4A">
        <w:rPr>
          <w:rFonts w:ascii="Times New Roman" w:hAnsi="Times New Roman" w:cs="Times New Roman"/>
          <w:sz w:val="24"/>
          <w:szCs w:val="24"/>
        </w:rPr>
        <w:t xml:space="preserve"> сфері, їх функції;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 xml:space="preserve">технології та методи державного управління;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>структуру механізму державного управління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соціокультурною сферою</w:t>
      </w:r>
      <w:r w:rsidRPr="00146F4A">
        <w:rPr>
          <w:rFonts w:ascii="Times New Roman" w:hAnsi="Times New Roman" w:cs="Times New Roman"/>
          <w:sz w:val="24"/>
          <w:szCs w:val="24"/>
        </w:rPr>
        <w:t>;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 xml:space="preserve">особливості правового забезпечення управління соціокультурною діяльністю. </w:t>
      </w:r>
    </w:p>
    <w:p w:rsidR="00146F4A" w:rsidRPr="00146F4A" w:rsidRDefault="00146F4A" w:rsidP="00146F4A">
      <w:pPr>
        <w:pStyle w:val="a6"/>
        <w:spacing w:after="0"/>
        <w:ind w:left="142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b/>
          <w:sz w:val="24"/>
          <w:szCs w:val="24"/>
          <w:lang w:val="uk-UA"/>
        </w:rPr>
        <w:t>вміти: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>оцінювати тенденції функціонування та розвитку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соціокультурної сфери</w:t>
      </w:r>
      <w:r w:rsidRPr="00146F4A">
        <w:rPr>
          <w:rFonts w:ascii="Times New Roman" w:hAnsi="Times New Roman" w:cs="Times New Roman"/>
          <w:sz w:val="24"/>
          <w:szCs w:val="24"/>
        </w:rPr>
        <w:t>;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 xml:space="preserve">проводити огляд загальнодержавних та обласних (локальних) стратегій регіонального розвитку, виявляти їх ступінь та повноту виконання з урахуванням поточних змін у функціонуванні національного господарства на рівні окремої адміністративно-територіальної одиниці;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 xml:space="preserve">здійснювати аналіз діючих нормативно-правових документів, що регулюють 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соціокультурну </w:t>
      </w:r>
      <w:r w:rsidRPr="00146F4A">
        <w:rPr>
          <w:rFonts w:ascii="Times New Roman" w:hAnsi="Times New Roman" w:cs="Times New Roman"/>
          <w:sz w:val="24"/>
          <w:szCs w:val="24"/>
        </w:rPr>
        <w:t xml:space="preserve">діяльність в Україні, пропонувати можливі заходи з її удосконалення;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4A">
        <w:rPr>
          <w:rFonts w:ascii="Times New Roman" w:hAnsi="Times New Roman" w:cs="Times New Roman"/>
          <w:sz w:val="24"/>
          <w:szCs w:val="24"/>
        </w:rPr>
        <w:t xml:space="preserve">застосовувати кількісні методи під час аналізу особливостей реалізації механізму державного управління на регіональному рівні; </w:t>
      </w:r>
    </w:p>
    <w:p w:rsidR="00146F4A" w:rsidRPr="00146F4A" w:rsidRDefault="00146F4A" w:rsidP="00146F4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</w:rPr>
        <w:t>розробляти пропозиції з удосконалення механізму державного управління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соціокультурною сферою</w:t>
      </w:r>
      <w:r w:rsidRPr="00146F4A">
        <w:rPr>
          <w:rFonts w:ascii="Times New Roman" w:hAnsi="Times New Roman" w:cs="Times New Roman"/>
          <w:sz w:val="24"/>
          <w:szCs w:val="24"/>
        </w:rPr>
        <w:t>, зокрема в частині його інформаційного, кадрового забезпечення</w:t>
      </w:r>
      <w:r w:rsidRPr="00146F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76DD" w:rsidRDefault="003B76DD" w:rsidP="00146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41261" w:rsidRPr="003B76DD" w:rsidRDefault="003B76DD" w:rsidP="003B76DD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6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Результати навчання (компетентності)</w:t>
      </w:r>
    </w:p>
    <w:p w:rsidR="003B76DD" w:rsidRDefault="003B76DD" w:rsidP="003B7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6DD" w:rsidRPr="003B76DD" w:rsidRDefault="003B76DD" w:rsidP="003B7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6DD">
        <w:rPr>
          <w:rFonts w:ascii="Times New Roman" w:hAnsi="Times New Roman" w:cs="Times New Roman"/>
          <w:sz w:val="24"/>
          <w:szCs w:val="24"/>
        </w:rPr>
        <w:t>Програмні компетентності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готовність застосовувати сучасні методи дослідження та критерії оцінки ефективності реалізації державного управління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соціокультурною сферою</w:t>
      </w: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здатність поставити завдання та організувати наукові дослідження з визначення та розв’язання проблем у сфері управління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соціокультурною діяльністю</w:t>
      </w: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впровадження організаційних і технічних заходів з метою покращення управлінської діяльності;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здатність та готовність до врахування положень законодавчих та нормативно-правових актів з організації діяльності органів державного управління;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здатність до організації діяльності структурного підрозділу та органу державного управління з урахуванням теорії та практики управління;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впровадження ефективного розподілу завдань, функцій, обов’язків і повноважень з організації діяльності певного структурного елементу суб’єктів державного 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ління;</w:t>
      </w:r>
    </w:p>
    <w:p w:rsidR="003B76DD" w:rsidRP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розробка методичного забезпечення і проведення навчання та перевірки знань з питань державного управління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соціокультурною сферою;</w:t>
      </w:r>
    </w:p>
    <w:p w:rsidR="003B76DD" w:rsidRDefault="003B76DD" w:rsidP="003B76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B7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надання допомоги та консультації працівників з практичних питань організації державно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 управління соціокультурною сферою.</w:t>
      </w:r>
    </w:p>
    <w:p w:rsidR="00FF1736" w:rsidRDefault="00FF1736" w:rsidP="00FF173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C33EB" w:rsidRDefault="007C33E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FF1736" w:rsidRPr="00BF3043" w:rsidRDefault="00FF1736" w:rsidP="00FF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5. Організація навчання курсу</w:t>
      </w:r>
    </w:p>
    <w:p w:rsidR="00FF1736" w:rsidRPr="003B76DD" w:rsidRDefault="00FF1736" w:rsidP="00FF173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Style w:val="a8"/>
        <w:tblW w:w="0" w:type="auto"/>
        <w:tblInd w:w="1146" w:type="dxa"/>
        <w:tblLook w:val="04A0" w:firstRow="1" w:lastRow="0" w:firstColumn="1" w:lastColumn="0" w:noHBand="0" w:noVBand="1"/>
      </w:tblPr>
      <w:tblGrid>
        <w:gridCol w:w="2115"/>
        <w:gridCol w:w="2126"/>
        <w:gridCol w:w="2010"/>
        <w:gridCol w:w="2232"/>
      </w:tblGrid>
      <w:tr w:rsidR="007C33EB" w:rsidTr="00D63A6D">
        <w:tc>
          <w:tcPr>
            <w:tcW w:w="8483" w:type="dxa"/>
            <w:gridSpan w:val="4"/>
          </w:tcPr>
          <w:p w:rsidR="007C33EB" w:rsidRP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3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4242" w:type="dxa"/>
            <w:gridSpan w:val="2"/>
          </w:tcPr>
          <w:p w:rsid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4242" w:type="dxa"/>
            <w:gridSpan w:val="2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4242" w:type="dxa"/>
            <w:gridSpan w:val="2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4242" w:type="dxa"/>
            <w:gridSpan w:val="2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</w:t>
            </w:r>
          </w:p>
        </w:tc>
      </w:tr>
      <w:tr w:rsidR="007C33EB" w:rsidTr="007C2667">
        <w:tc>
          <w:tcPr>
            <w:tcW w:w="8483" w:type="dxa"/>
            <w:gridSpan w:val="4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  <w:p w:rsidR="007C33EB" w:rsidRDefault="007C33EB" w:rsidP="003B76DD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C33EB" w:rsidTr="00CD26E9">
        <w:tc>
          <w:tcPr>
            <w:tcW w:w="2115" w:type="dxa"/>
            <w:vAlign w:val="center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2126" w:type="dxa"/>
            <w:vAlign w:val="center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2010" w:type="dxa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2232" w:type="dxa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7C33EB" w:rsidTr="007C33EB">
        <w:tc>
          <w:tcPr>
            <w:tcW w:w="2115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-ий семестр</w:t>
            </w:r>
          </w:p>
        </w:tc>
        <w:tc>
          <w:tcPr>
            <w:tcW w:w="2126" w:type="dxa"/>
          </w:tcPr>
          <w:p w:rsidR="007C33EB" w:rsidRPr="00BF3043" w:rsidRDefault="007C33EB" w:rsidP="007C33EB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028 Менеджмент соціокультурної діяльності</w:t>
            </w:r>
          </w:p>
        </w:tc>
        <w:tc>
          <w:tcPr>
            <w:tcW w:w="2010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курс</w:t>
            </w:r>
          </w:p>
        </w:tc>
        <w:tc>
          <w:tcPr>
            <w:tcW w:w="2232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</w:t>
            </w:r>
          </w:p>
        </w:tc>
      </w:tr>
    </w:tbl>
    <w:p w:rsidR="003B76DD" w:rsidRDefault="003B76DD" w:rsidP="003B76DD">
      <w:pPr>
        <w:pStyle w:val="a6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33EB" w:rsidRDefault="007C33EB" w:rsidP="003B76DD">
      <w:pPr>
        <w:pStyle w:val="a6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33EB" w:rsidRPr="00BF3043" w:rsidRDefault="007C33EB" w:rsidP="007C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Тематика курсу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Державне управління як системне суспільне явище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 1.1.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Предмет і наукові основи системи державного регулювання економічних процесів у соціокультурній діяльності.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1.2.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Держава як суб’єкт управління суспільними процесами.</w:t>
      </w:r>
    </w:p>
    <w:p w:rsidR="007C33EB" w:rsidRP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1.3.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Теорія та принципи поділу влади.</w:t>
      </w:r>
    </w:p>
    <w:p w:rsidR="007C33EB" w:rsidRP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Характеристика системи державного управління соціокультурною сферою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2.1.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Системні характеристики державного управління.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2.2.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Організація державного управління.</w:t>
      </w:r>
    </w:p>
    <w:p w:rsidR="007C33EB" w:rsidRPr="007C33EB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2.3.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Формування та реалізація державної політики.</w:t>
      </w:r>
    </w:p>
    <w:p w:rsidR="007C33EB" w:rsidRPr="007C33EB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</w:rPr>
        <w:t xml:space="preserve"> Тема 3. </w:t>
      </w: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Державне регулювання економічних процесів у соціокультурній діяльності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18C1">
        <w:rPr>
          <w:rFonts w:ascii="Times New Roman" w:hAnsi="Times New Roman" w:cs="Times New Roman"/>
          <w:sz w:val="24"/>
          <w:szCs w:val="24"/>
          <w:lang w:val="uk-UA"/>
        </w:rPr>
        <w:t xml:space="preserve"> 3.1.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Державне регулювання економічних процесів у соціокультурній діяльності: необхідність, сутність, функції, цілі та об’єкти.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3.2.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Сучасні підходи та принципи державного регулювання економічних процесів у соціокультурній діяльності.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3EB">
        <w:rPr>
          <w:rFonts w:ascii="Times New Roman" w:hAnsi="Times New Roman" w:cs="Times New Roman"/>
          <w:sz w:val="24"/>
          <w:szCs w:val="24"/>
        </w:rPr>
        <w:t>3.3. Еволюція теорій регулювання економічних процесів у соціокультурній діяльності.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3.4.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Регулювання економічного зростання та рівноваги.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3EB">
        <w:rPr>
          <w:rFonts w:ascii="Times New Roman" w:hAnsi="Times New Roman" w:cs="Times New Roman"/>
          <w:sz w:val="24"/>
          <w:szCs w:val="24"/>
        </w:rPr>
        <w:t>3.5.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 xml:space="preserve"> Моделі державного регулювання.</w:t>
      </w:r>
      <w:r w:rsidRPr="007C3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>3.6. Методи державного регулювання економічних процесів у соціокультурній діяльності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: їх суть, призначення та інструменти.</w:t>
      </w:r>
    </w:p>
    <w:p w:rsidR="007C33EB" w:rsidRP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  <w:lang w:val="uk-UA"/>
        </w:rPr>
        <w:t>3.7. Недоліки державного регулювання: тіньова економіка.</w:t>
      </w:r>
    </w:p>
    <w:p w:rsid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Структурна політика та регулювання суспільного виробництва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C33EB" w:rsidRPr="007C33EB" w:rsidRDefault="009A18C1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(лекція, 2 год)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>4.1.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 xml:space="preserve"> Диспропорції національної економіки в контексті міжнародних порівнянь.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4.2.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Продуктивність праці в умовах глобальної диспропорціональності.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4.3.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Основні завдання розвитку структури національної економіки.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  <w:lang w:val="uk-UA"/>
        </w:rPr>
        <w:t>4.4. Державне регулювання реальної сфери економіки.</w:t>
      </w:r>
    </w:p>
    <w:p w:rsidR="007C33EB" w:rsidRP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  <w:lang w:val="uk-UA"/>
        </w:rPr>
        <w:t>4.5. Міжгалузевий баланс виробництва та розподілу продукції (МГБ).</w:t>
      </w:r>
    </w:p>
    <w:p w:rsidR="009A18C1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Механізм бюджетного, податкового та монетарного регулювання</w:t>
      </w:r>
    </w:p>
    <w:p w:rsidR="007C33EB" w:rsidRPr="007C33EB" w:rsidRDefault="009A18C1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(лекція, 2 год)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5.1.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Бюджетне та фінансове регулювання економіки.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5.2.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Регулювання податкової системи.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lastRenderedPageBreak/>
        <w:t>5.3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C33EB">
        <w:rPr>
          <w:rFonts w:ascii="Times New Roman" w:hAnsi="Times New Roman" w:cs="Times New Roman"/>
          <w:sz w:val="24"/>
          <w:szCs w:val="24"/>
        </w:rPr>
        <w:t xml:space="preserve">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Монетарне регулювання.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5.4.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Регулювання фондового ринку.</w:t>
      </w:r>
    </w:p>
    <w:p w:rsidR="007C33EB" w:rsidRPr="009A18C1" w:rsidRDefault="007C33EB" w:rsidP="009A18C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5.5.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Антикризове державне управління та моніторинг загроз кризових явищ.</w:t>
      </w:r>
    </w:p>
    <w:p w:rsidR="007C33EB" w:rsidRPr="007C33EB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Тема 6.  Регулювання інвестиційної та інноваційної сфер, територіального розвитку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6.1.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Державне регулювання інвестиційного процесу.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6.2.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Регулювання інноваційного розвитку.</w:t>
      </w:r>
    </w:p>
    <w:p w:rsidR="007C33EB" w:rsidRPr="009A18C1" w:rsidRDefault="007C33EB" w:rsidP="009A18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 xml:space="preserve">6.3. 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Державне регулювання територіального розвитку.</w:t>
      </w:r>
    </w:p>
    <w:p w:rsidR="007C33EB" w:rsidRPr="007C33EB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Тема 7. Регулювання зовнішньоекономічної діяльності та соціальної сфери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>7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>.1. Зовнішня політика й митне регулювання.</w:t>
      </w:r>
    </w:p>
    <w:p w:rsidR="007C33EB" w:rsidRPr="007C33EB" w:rsidRDefault="007C33EB" w:rsidP="009A18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  <w:lang w:val="uk-UA"/>
        </w:rPr>
        <w:t>7.2. Державне регулювання соціальної сфери.</w:t>
      </w:r>
    </w:p>
    <w:p w:rsidR="007C33EB" w:rsidRPr="007C33EB" w:rsidRDefault="007C33EB" w:rsidP="009A18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b/>
          <w:sz w:val="24"/>
          <w:szCs w:val="24"/>
          <w:lang w:val="uk-UA"/>
        </w:rPr>
        <w:t>Тема 8. Стратегічне планування розвитку національної економіки. Законність та відповідальність. Ефективність державного управління соціокультурною сферою та оцінка роботи влади</w:t>
      </w:r>
      <w:r w:rsidR="009A1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</w:rPr>
        <w:t>8</w:t>
      </w:r>
      <w:r w:rsidRPr="007C33EB">
        <w:rPr>
          <w:rFonts w:ascii="Times New Roman" w:hAnsi="Times New Roman" w:cs="Times New Roman"/>
          <w:sz w:val="24"/>
          <w:szCs w:val="24"/>
          <w:lang w:val="uk-UA"/>
        </w:rPr>
        <w:t xml:space="preserve">.1. Стратегічне планування розвитку національної економіки. </w:t>
      </w:r>
    </w:p>
    <w:p w:rsidR="007C33EB" w:rsidRPr="007C33EB" w:rsidRDefault="007C33EB" w:rsidP="007C3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3EB">
        <w:rPr>
          <w:rFonts w:ascii="Times New Roman" w:hAnsi="Times New Roman" w:cs="Times New Roman"/>
          <w:sz w:val="24"/>
          <w:szCs w:val="24"/>
          <w:lang w:val="uk-UA"/>
        </w:rPr>
        <w:t xml:space="preserve">8.2. Законність та відповідальність в державному управлінні. </w:t>
      </w:r>
    </w:p>
    <w:p w:rsidR="007C33EB" w:rsidRDefault="009A18C1" w:rsidP="009A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C33EB" w:rsidRPr="009A18C1">
        <w:rPr>
          <w:rFonts w:ascii="Times New Roman" w:hAnsi="Times New Roman" w:cs="Times New Roman"/>
          <w:sz w:val="24"/>
          <w:szCs w:val="24"/>
          <w:lang w:val="uk-UA"/>
        </w:rPr>
        <w:t>8.3. Ефективність державного управління соціокультурною сферою та оцінка роботи влади.</w:t>
      </w:r>
    </w:p>
    <w:p w:rsidR="003B2EE8" w:rsidRDefault="003B2EE8" w:rsidP="009A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EE8" w:rsidRDefault="003B2EE8" w:rsidP="003B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Система оцінювання курсу</w:t>
      </w:r>
    </w:p>
    <w:p w:rsidR="003B2EE8" w:rsidRDefault="003B2EE8" w:rsidP="003B2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B2EE8" w:rsidRPr="00E962DE" w:rsidTr="003B2EE8">
        <w:tc>
          <w:tcPr>
            <w:tcW w:w="4814" w:type="dxa"/>
          </w:tcPr>
          <w:p w:rsidR="003B2EE8" w:rsidRDefault="003B2EE8" w:rsidP="003B2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система оцінювання курсу</w:t>
            </w:r>
          </w:p>
        </w:tc>
        <w:tc>
          <w:tcPr>
            <w:tcW w:w="4815" w:type="dxa"/>
          </w:tcPr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розподілу балів у ході аудиторно-самостійної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оботи студентів (лютий-червень 2020 р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усні відповіді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з використанням візуалізованих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резентацій своїх відповідей – 50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оцінок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 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заняттях);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тематичне опитування – (дві письмові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контрольні роботи) – 50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балів.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Підсумковий контроль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екзаменаційна контрольна робота (червень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р.):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практичний тур – тестування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(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тестів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екзаменаційному завданні)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балів;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 теоретичний тур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екзаменаційна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(у кожному варіанті – 5 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нь, які максимально оцінюються 10 балами)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Default="003B2EE8" w:rsidP="003B2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– 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B2EE8" w:rsidTr="003B2EE8">
        <w:tc>
          <w:tcPr>
            <w:tcW w:w="4814" w:type="dxa"/>
          </w:tcPr>
          <w:p w:rsidR="003B2EE8" w:rsidRPr="00BF3043" w:rsidRDefault="003B2EE8" w:rsidP="003B2EE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Умови допуску до підсумкового контролю</w:t>
            </w:r>
          </w:p>
        </w:tc>
        <w:tc>
          <w:tcPr>
            <w:tcW w:w="4815" w:type="dxa"/>
          </w:tcPr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Належне виконання: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підготовка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лютий–червень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р.). Для цього необхідно готувати конспекти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занять. Вітається якісна підготовка візуалізованих презентацій для відповідей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практичні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питання. Візуалізувана презентація на семінарське питання не повинна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перевищувати 20 слайдів. Однак слід пам’ятати, що візуалізована презентація тільки доповнює підготовлену основну відповідь студента (-ки).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(-ка) допускається до підсумкового контролю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екзамену) на початку червня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 за умови відпрацювання усі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 «заборгованостей» та набору 51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більше балів.</w:t>
            </w:r>
          </w:p>
        </w:tc>
      </w:tr>
    </w:tbl>
    <w:p w:rsidR="003B2EE8" w:rsidRDefault="003B2EE8" w:rsidP="003B2E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2EE8" w:rsidRDefault="003B2EE8" w:rsidP="003B2EE8">
      <w:pPr>
        <w:tabs>
          <w:tab w:val="left" w:pos="25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Політика курсу</w:t>
      </w:r>
    </w:p>
    <w:p w:rsidR="003B2EE8" w:rsidRDefault="003B2EE8" w:rsidP="003B2EE8">
      <w:pPr>
        <w:tabs>
          <w:tab w:val="left" w:pos="25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Політика курсу «</w:t>
      </w:r>
      <w:r w:rsidR="00092F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Державне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="00092F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соціокультурною сферою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передбачає перездачу усіх невиконаних завдань в силу серйозних запізнень на заняття або пропущених пар без поважних причин. За умови відсутності студента (-ки) на лекції 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практичному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занятті, отримання негативної оцінки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практичних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заняттях визначений день для відпрацювання пропущених аудиторних занять, негативних оцінок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433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Плану-графіку </w:t>
      </w:r>
      <w:r w:rsidRPr="00024339">
        <w:rPr>
          <w:rFonts w:ascii="Times New Roman" w:hAnsi="Times New Roman" w:cs="Times New Roman"/>
          <w:bCs/>
          <w:sz w:val="24"/>
          <w:szCs w:val="24"/>
          <w:lang w:val="uk-UA"/>
        </w:rPr>
        <w:t>консультацій викладачів з дисциплін кафедри.</w:t>
      </w:r>
      <w:r w:rsidRPr="00024339">
        <w:rPr>
          <w:b/>
          <w:bCs/>
          <w:sz w:val="20"/>
          <w:szCs w:val="20"/>
          <w:lang w:val="uk-UA"/>
        </w:rPr>
        <w:t xml:space="preserve">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(-ці) повторно виконати необхідний вид роботи.</w:t>
      </w:r>
    </w:p>
    <w:p w:rsidR="00092FCB" w:rsidRDefault="00092FCB" w:rsidP="00092FCB">
      <w:pPr>
        <w:tabs>
          <w:tab w:val="left" w:pos="25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Рекомендована література</w:t>
      </w:r>
    </w:p>
    <w:p w:rsidR="00092FCB" w:rsidRPr="00092FCB" w:rsidRDefault="00092FCB" w:rsidP="00092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CB">
        <w:rPr>
          <w:rFonts w:ascii="Times New Roman" w:hAnsi="Times New Roman" w:cs="Times New Roman"/>
          <w:b/>
          <w:sz w:val="24"/>
          <w:szCs w:val="24"/>
        </w:rPr>
        <w:t>Основна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092FCB">
        <w:rPr>
          <w:rFonts w:ascii="Times New Roman" w:hAnsi="Times New Roman" w:cs="Times New Roman"/>
          <w:sz w:val="24"/>
          <w:szCs w:val="24"/>
        </w:rPr>
        <w:t xml:space="preserve">Конституція України К., 1996.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2. Бюджетний кодекс України. К.,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3. Господарський кодекс України. К,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4. Митний кодекс України. К., 2004.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5. Албегова И. М., Емцов Р. Г., Холопов А. Г. Государственная экономическая политика. М.,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6. Державне регулювання економіки: Навч. посібник. К.,2013.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7. Дідківська Л.І., Головко Л.С. Державне регулювання економіки. К., 2011.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8. Мельник А., Крупка М., Залога З., Державне регулювання економіки: Підручник. Львів, 2014.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FCB">
        <w:rPr>
          <w:rFonts w:ascii="Times New Roman" w:hAnsi="Times New Roman" w:cs="Times New Roman"/>
          <w:sz w:val="24"/>
          <w:szCs w:val="24"/>
        </w:rPr>
        <w:t xml:space="preserve">9. Ходов Л. Г. Основы государственной экономической политики. М.,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FCB" w:rsidRPr="00092FCB" w:rsidRDefault="00092FCB" w:rsidP="00092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CB">
        <w:rPr>
          <w:rFonts w:ascii="Times New Roman" w:hAnsi="Times New Roman" w:cs="Times New Roman"/>
          <w:b/>
          <w:sz w:val="24"/>
          <w:szCs w:val="24"/>
        </w:rPr>
        <w:t>Додаткова</w:t>
      </w:r>
      <w:r w:rsidRPr="00092F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>1. Абалкин Л. Роль государства в становлении и р</w:t>
      </w:r>
      <w:r w:rsidR="00E962DE">
        <w:rPr>
          <w:rFonts w:ascii="Times New Roman" w:hAnsi="Times New Roman" w:cs="Times New Roman"/>
          <w:sz w:val="24"/>
          <w:szCs w:val="24"/>
        </w:rPr>
        <w:t>егулировании рыночной экономики.</w:t>
      </w:r>
      <w:r w:rsidRPr="00092FCB">
        <w:rPr>
          <w:rFonts w:ascii="Times New Roman" w:hAnsi="Times New Roman" w:cs="Times New Roman"/>
          <w:sz w:val="24"/>
          <w:szCs w:val="24"/>
        </w:rPr>
        <w:t xml:space="preserve"> </w:t>
      </w:r>
      <w:r w:rsidRPr="00E962DE">
        <w:rPr>
          <w:rFonts w:ascii="Times New Roman" w:hAnsi="Times New Roman" w:cs="Times New Roman"/>
          <w:i/>
          <w:sz w:val="24"/>
          <w:szCs w:val="24"/>
        </w:rPr>
        <w:t>Вопросы экономики</w:t>
      </w:r>
      <w:r w:rsidRPr="00092FCB">
        <w:rPr>
          <w:rFonts w:ascii="Times New Roman" w:hAnsi="Times New Roman" w:cs="Times New Roman"/>
          <w:sz w:val="24"/>
          <w:szCs w:val="24"/>
        </w:rPr>
        <w:t xml:space="preserve">. 2012 №6.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2. Абросимова И. В. Государственная региональная инвестиционная политика как основа социально-экономической стабилизации регионов </w:t>
      </w:r>
      <w:r w:rsidRPr="00E962DE">
        <w:rPr>
          <w:rFonts w:ascii="Times New Roman" w:hAnsi="Times New Roman" w:cs="Times New Roman"/>
          <w:i/>
          <w:sz w:val="24"/>
          <w:szCs w:val="24"/>
        </w:rPr>
        <w:t>Социология власти</w:t>
      </w:r>
      <w:r w:rsidRPr="00092FCB">
        <w:rPr>
          <w:rFonts w:ascii="Times New Roman" w:hAnsi="Times New Roman" w:cs="Times New Roman"/>
          <w:sz w:val="24"/>
          <w:szCs w:val="24"/>
        </w:rPr>
        <w:t>. 2012</w:t>
      </w:r>
      <w:r w:rsidR="00E962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92FCB">
        <w:rPr>
          <w:rFonts w:ascii="Times New Roman" w:hAnsi="Times New Roman" w:cs="Times New Roman"/>
          <w:sz w:val="24"/>
          <w:szCs w:val="24"/>
        </w:rPr>
        <w:t xml:space="preserve"> №2.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3. Василик О. Д. Державні фінанси України: Навч. посібник.  К.,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4. Герасимчук В. Г. Маркетинг: теорія і практика. К., 2014.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5. Государственное регулирование экономики и социальный комплекс: Учеб. пособие для вузов. М.,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6. Гуревичев М. М. Государственное регулирование в условиях рыночной экономики. Харьков, 2013.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>7. Дежина И., Леонов И. Экономико-правовое обеспечение коммерциализации интеллектуальной собственности</w:t>
      </w:r>
      <w:r w:rsidR="00E962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92FCB">
        <w:rPr>
          <w:rFonts w:ascii="Times New Roman" w:hAnsi="Times New Roman" w:cs="Times New Roman"/>
          <w:sz w:val="24"/>
          <w:szCs w:val="24"/>
        </w:rPr>
        <w:t xml:space="preserve"> </w:t>
      </w:r>
      <w:r w:rsidRPr="00E962DE">
        <w:rPr>
          <w:rFonts w:ascii="Times New Roman" w:hAnsi="Times New Roman" w:cs="Times New Roman"/>
          <w:i/>
          <w:sz w:val="24"/>
          <w:szCs w:val="24"/>
        </w:rPr>
        <w:t>Вопросы экономики</w:t>
      </w:r>
      <w:r w:rsidRPr="00092FCB">
        <w:rPr>
          <w:rFonts w:ascii="Times New Roman" w:hAnsi="Times New Roman" w:cs="Times New Roman"/>
          <w:sz w:val="24"/>
          <w:szCs w:val="24"/>
        </w:rPr>
        <w:t xml:space="preserve">. 2013. №10.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8. Заболоцький Б. Ф., Кокошко М.Ф., Смовженко Т.С. Економіка України. Львів,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lastRenderedPageBreak/>
        <w:t xml:space="preserve">9. Кейнс Дж. Общая теория занятости, процента и денег.М., 1978.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10. Кузнецова Н. В. Регулирование внешнеэкономической деятельности в Украине: Практ. пособие.- К., 2013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11. Мельник А. Ф. Державне регулювання економіки перехідного періоду. Світовий досвід і проблеми України.Тернопіль, 2013.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12. Науменко В., Панасюк Б. Впровадження методів прогнозування і планування в умовах ринкової економіки. К., 2013.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13. Основи економічної теорії: політ економічний аспект.  К., 2012. </w:t>
      </w:r>
    </w:p>
    <w:p w:rsidR="00092FCB" w:rsidRPr="00092FCB" w:rsidRDefault="00092FCB" w:rsidP="00092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CB">
        <w:rPr>
          <w:rFonts w:ascii="Times New Roman" w:hAnsi="Times New Roman" w:cs="Times New Roman"/>
          <w:sz w:val="24"/>
          <w:szCs w:val="24"/>
        </w:rPr>
        <w:t xml:space="preserve">14. Радіонова І. Макроекономіка та економічна політика. К., 2006. </w:t>
      </w:r>
    </w:p>
    <w:p w:rsidR="00092FCB" w:rsidRPr="00092FCB" w:rsidRDefault="00092FCB" w:rsidP="00092FCB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2FCB" w:rsidRPr="00092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0D" w:rsidRDefault="0038330D">
      <w:pPr>
        <w:spacing w:after="0" w:line="240" w:lineRule="auto"/>
      </w:pPr>
      <w:r>
        <w:separator/>
      </w:r>
    </w:p>
  </w:endnote>
  <w:endnote w:type="continuationSeparator" w:id="0">
    <w:p w:rsidR="0038330D" w:rsidRDefault="0038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0D" w:rsidRDefault="0038330D">
      <w:pPr>
        <w:spacing w:after="0" w:line="240" w:lineRule="auto"/>
      </w:pPr>
      <w:r>
        <w:separator/>
      </w:r>
    </w:p>
  </w:footnote>
  <w:footnote w:type="continuationSeparator" w:id="0">
    <w:p w:rsidR="0038330D" w:rsidRDefault="0038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67" w:rsidRPr="00CD1714" w:rsidRDefault="00092FCB" w:rsidP="002E354B">
    <w:pPr>
      <w:pStyle w:val="a3"/>
      <w:jc w:val="right"/>
      <w:rPr>
        <w:sz w:val="22"/>
        <w:szCs w:val="22"/>
        <w:lang w:val="uk-UA"/>
      </w:rPr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E962DE">
      <w:rPr>
        <w:noProof/>
      </w:rPr>
      <w:t>7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B9452D"/>
    <w:multiLevelType w:val="hybridMultilevel"/>
    <w:tmpl w:val="12745D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93E9A"/>
    <w:multiLevelType w:val="hybridMultilevel"/>
    <w:tmpl w:val="123C0EC2"/>
    <w:lvl w:ilvl="0" w:tplc="8CA8AC1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B509A7"/>
    <w:multiLevelType w:val="hybridMultilevel"/>
    <w:tmpl w:val="D57697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1BB5"/>
    <w:multiLevelType w:val="multilevel"/>
    <w:tmpl w:val="61F2E6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670B5"/>
    <w:multiLevelType w:val="hybridMultilevel"/>
    <w:tmpl w:val="33188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4238E"/>
    <w:multiLevelType w:val="multilevel"/>
    <w:tmpl w:val="6F5EE1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F435E"/>
    <w:multiLevelType w:val="multilevel"/>
    <w:tmpl w:val="40148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97F3B"/>
    <w:multiLevelType w:val="multilevel"/>
    <w:tmpl w:val="8F040E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F4"/>
    <w:rsid w:val="00092FCB"/>
    <w:rsid w:val="00146F4A"/>
    <w:rsid w:val="0038330D"/>
    <w:rsid w:val="003B2EE8"/>
    <w:rsid w:val="003B76DD"/>
    <w:rsid w:val="00641261"/>
    <w:rsid w:val="00645FF3"/>
    <w:rsid w:val="006B0D30"/>
    <w:rsid w:val="007C33EB"/>
    <w:rsid w:val="009A18C1"/>
    <w:rsid w:val="00BE34A5"/>
    <w:rsid w:val="00C717F4"/>
    <w:rsid w:val="00CE5658"/>
    <w:rsid w:val="00E71C5C"/>
    <w:rsid w:val="00E962DE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F00"/>
  <w15:docId w15:val="{019AD893-4F9D-4B5F-8E31-0B54FE21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1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E71C5C"/>
    <w:rPr>
      <w:color w:val="0000FF"/>
      <w:u w:val="single"/>
    </w:rPr>
  </w:style>
  <w:style w:type="paragraph" w:customStyle="1" w:styleId="Default">
    <w:name w:val="Default"/>
    <w:rsid w:val="00E71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71C5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4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8">
    <w:name w:val="Table Grid"/>
    <w:basedOn w:val="a1"/>
    <w:uiPriority w:val="39"/>
    <w:rsid w:val="007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link w:val="20"/>
    <w:rsid w:val="007C33EB"/>
    <w:rPr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C33EB"/>
    <w:pPr>
      <w:widowControl w:val="0"/>
      <w:shd w:val="clear" w:color="auto" w:fill="FFFFFF"/>
      <w:spacing w:after="600" w:line="240" w:lineRule="atLeast"/>
      <w:ind w:hanging="44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hykerynets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8823</Words>
  <Characters>5030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3</cp:revision>
  <dcterms:created xsi:type="dcterms:W3CDTF">2020-10-29T19:08:00Z</dcterms:created>
  <dcterms:modified xsi:type="dcterms:W3CDTF">2021-03-12T12:21:00Z</dcterms:modified>
</cp:coreProperties>
</file>