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C8FF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14:paraId="673FB7F3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14:paraId="1280D2E7" w14:textId="77777777"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14:paraId="7327916D" w14:textId="77777777"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14:paraId="5002F490" w14:textId="77777777"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14:paraId="1C6D1CCB" w14:textId="77777777" w:rsidR="00395013" w:rsidRPr="00123044" w:rsidRDefault="00395013" w:rsidP="00395013">
      <w:pPr>
        <w:jc w:val="center"/>
        <w:rPr>
          <w:lang w:val="uk-UA"/>
        </w:rPr>
      </w:pPr>
    </w:p>
    <w:p w14:paraId="20F6617A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14:paraId="270654F9" w14:textId="77777777" w:rsidR="00395013" w:rsidRPr="00123044" w:rsidRDefault="00395013" w:rsidP="00395013">
      <w:pPr>
        <w:jc w:val="center"/>
        <w:rPr>
          <w:b/>
          <w:lang w:val="uk-UA"/>
        </w:rPr>
      </w:pPr>
    </w:p>
    <w:p w14:paraId="38F68B28" w14:textId="77777777" w:rsidR="00395013" w:rsidRPr="007F3A0C" w:rsidRDefault="003C370C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ВЕЛИКИЙ ПРАКТИКУМ З </w:t>
      </w:r>
      <w:r w:rsidR="007F3A0C">
        <w:rPr>
          <w:b/>
          <w:u w:val="single"/>
          <w:lang w:val="uk-UA"/>
        </w:rPr>
        <w:t>ЕКСПЕРИМЕНТАЛЬНОЇ БІОЛОГІЇ</w:t>
      </w:r>
    </w:p>
    <w:p w14:paraId="654547EF" w14:textId="77777777"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14:paraId="2DE583D3" w14:textId="77777777" w:rsidR="00395013" w:rsidRPr="009634F4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9634F4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9634F4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0850EB">
        <w:rPr>
          <w:lang w:val="uk-UA"/>
        </w:rPr>
        <w:t xml:space="preserve">, біотехнологія та методологія біологічних </w:t>
      </w:r>
      <w:r w:rsidR="00D6319B">
        <w:rPr>
          <w:lang w:val="uk-UA"/>
        </w:rPr>
        <w:t>досліджень</w:t>
      </w:r>
      <w:r w:rsidR="00F83073" w:rsidRPr="00123044">
        <w:rPr>
          <w:lang w:val="uk-UA"/>
        </w:rPr>
        <w:t>»</w:t>
      </w:r>
    </w:p>
    <w:p w14:paraId="58FF13FC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14:paraId="4CAE9EAF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9Біологія</w:t>
      </w:r>
    </w:p>
    <w:p w14:paraId="620A8E3E" w14:textId="77777777" w:rsidR="00395013" w:rsidRPr="00123044" w:rsidRDefault="00395013" w:rsidP="00395013">
      <w:pPr>
        <w:jc w:val="center"/>
        <w:rPr>
          <w:lang w:val="uk-UA"/>
        </w:rPr>
      </w:pPr>
    </w:p>
    <w:p w14:paraId="49FFC53A" w14:textId="77777777" w:rsidR="00395013" w:rsidRPr="00123044" w:rsidRDefault="00395013" w:rsidP="00395013">
      <w:pPr>
        <w:jc w:val="center"/>
        <w:rPr>
          <w:lang w:val="uk-UA"/>
        </w:rPr>
      </w:pPr>
    </w:p>
    <w:p w14:paraId="743E20B4" w14:textId="77777777" w:rsidR="002C2330" w:rsidRPr="00123044" w:rsidRDefault="00AE4DBA" w:rsidP="00AE4DBA">
      <w:pPr>
        <w:pStyle w:val="ListParagraph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23044" w14:paraId="61569BDE" w14:textId="77777777" w:rsidTr="00A03283">
        <w:tc>
          <w:tcPr>
            <w:tcW w:w="3767" w:type="dxa"/>
          </w:tcPr>
          <w:p w14:paraId="0E79830B" w14:textId="77777777" w:rsidR="00AE4DBA" w:rsidRPr="00123044" w:rsidRDefault="00AE4DBA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14:paraId="66A4F4F7" w14:textId="77777777" w:rsidR="00AE4DBA" w:rsidRPr="00123044" w:rsidRDefault="00D6319B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Великий практикум з </w:t>
            </w:r>
            <w:r w:rsidR="007F3A0C">
              <w:rPr>
                <w:lang w:val="uk-UA"/>
              </w:rPr>
              <w:t>експериментальної біології</w:t>
            </w:r>
          </w:p>
        </w:tc>
      </w:tr>
      <w:tr w:rsidR="009D53D5" w:rsidRPr="009634F4" w14:paraId="7B0FCA9F" w14:textId="77777777" w:rsidTr="00A03283">
        <w:tc>
          <w:tcPr>
            <w:tcW w:w="3767" w:type="dxa"/>
          </w:tcPr>
          <w:p w14:paraId="52A68251" w14:textId="77777777" w:rsidR="009D53D5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14:paraId="58E24221" w14:textId="77777777" w:rsidR="009D53D5" w:rsidRPr="00123044" w:rsidRDefault="00DD76A4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="00D6319B">
              <w:rPr>
                <w:lang w:val="uk-UA"/>
              </w:rPr>
              <w:t>, біотехнологія та методологія біологічних досліджень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14:paraId="60DF8575" w14:textId="77777777" w:rsidTr="00A03283">
        <w:tc>
          <w:tcPr>
            <w:tcW w:w="3767" w:type="dxa"/>
          </w:tcPr>
          <w:p w14:paraId="27DD1F6A" w14:textId="77777777" w:rsidR="00AE4DBA" w:rsidRPr="00123044" w:rsidRDefault="00DD56CE" w:rsidP="009D53D5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14:paraId="690ADD7A" w14:textId="77777777" w:rsidR="00AE4DBA" w:rsidRPr="00123044" w:rsidRDefault="001D35A2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14:paraId="0AAF5293" w14:textId="77777777" w:rsidTr="00A03283">
        <w:tc>
          <w:tcPr>
            <w:tcW w:w="3767" w:type="dxa"/>
          </w:tcPr>
          <w:p w14:paraId="7A0FC82B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14:paraId="4A7F24B0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14:paraId="42764577" w14:textId="77777777" w:rsidTr="00A03283">
        <w:tc>
          <w:tcPr>
            <w:tcW w:w="3767" w:type="dxa"/>
          </w:tcPr>
          <w:p w14:paraId="02FF94B1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14:paraId="21F80220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</w:t>
            </w:r>
            <w:r w:rsidR="009634F4">
              <w:rPr>
                <w:lang w:val="uk-UA"/>
              </w:rPr>
              <w:t xml:space="preserve"> </w:t>
            </w:r>
            <w:r w:rsidR="00457D4E" w:rsidRPr="00123044">
              <w:rPr>
                <w:lang w:val="uk-UA"/>
              </w:rPr>
              <w:t>Біологія</w:t>
            </w:r>
          </w:p>
        </w:tc>
      </w:tr>
      <w:tr w:rsidR="00DD56CE" w:rsidRPr="00123044" w14:paraId="26275700" w14:textId="77777777" w:rsidTr="00A03283">
        <w:tc>
          <w:tcPr>
            <w:tcW w:w="3767" w:type="dxa"/>
          </w:tcPr>
          <w:p w14:paraId="4E53CDC8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14:paraId="000A4C8C" w14:textId="77777777" w:rsidR="00DD56CE" w:rsidRPr="00123044" w:rsidRDefault="001D35A2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14:paraId="4352FA03" w14:textId="77777777" w:rsidTr="00A03283">
        <w:tc>
          <w:tcPr>
            <w:tcW w:w="3767" w:type="dxa"/>
          </w:tcPr>
          <w:p w14:paraId="4E41610F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14:paraId="3D355D8F" w14:textId="77777777" w:rsidR="00DD56CE" w:rsidRPr="00123044" w:rsidRDefault="00457D4E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14:paraId="6FC921E7" w14:textId="77777777" w:rsidTr="00A03283">
        <w:tc>
          <w:tcPr>
            <w:tcW w:w="3767" w:type="dxa"/>
          </w:tcPr>
          <w:p w14:paraId="614E0E5E" w14:textId="77777777" w:rsidR="00245156" w:rsidRPr="00123044" w:rsidRDefault="00245156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14:paraId="0A8A1EB8" w14:textId="77777777" w:rsidR="00245156" w:rsidRPr="00184D5D" w:rsidRDefault="007F3A0C" w:rsidP="00DE2FDE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ІІ</w:t>
            </w:r>
            <w:r w:rsidR="00DD76A4" w:rsidRPr="00123044">
              <w:rPr>
                <w:lang w:val="uk-UA"/>
              </w:rPr>
              <w:t xml:space="preserve">/ </w:t>
            </w:r>
            <w:r>
              <w:rPr>
                <w:lang w:val="uk-UA"/>
              </w:rPr>
              <w:t>4</w:t>
            </w:r>
          </w:p>
        </w:tc>
      </w:tr>
      <w:tr w:rsidR="00245156" w:rsidRPr="00123044" w14:paraId="77FE51EE" w14:textId="77777777" w:rsidTr="00A03283">
        <w:tc>
          <w:tcPr>
            <w:tcW w:w="3767" w:type="dxa"/>
          </w:tcPr>
          <w:p w14:paraId="12268971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14:paraId="6B736487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14:paraId="44E47CE3" w14:textId="77777777" w:rsidR="00245156" w:rsidRPr="00123044" w:rsidRDefault="00D6319B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>Лабораторні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7F3A0C">
              <w:rPr>
                <w:lang w:val="uk-UA"/>
              </w:rPr>
              <w:t>70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0C97F566" w14:textId="77777777" w:rsidR="00245156" w:rsidRDefault="00F22016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7F3A0C">
              <w:rPr>
                <w:lang w:val="uk-UA"/>
              </w:rPr>
              <w:t>110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3CADF0DE" w14:textId="77777777" w:rsidR="008F649D" w:rsidRPr="00123044" w:rsidRDefault="007F3A0C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>Загалом – 6</w:t>
            </w:r>
            <w:r w:rsidR="008F649D">
              <w:rPr>
                <w:lang w:val="uk-UA"/>
              </w:rPr>
              <w:t xml:space="preserve"> кредитів</w:t>
            </w:r>
          </w:p>
        </w:tc>
      </w:tr>
      <w:tr w:rsidR="00DD56CE" w:rsidRPr="00123044" w14:paraId="0033D573" w14:textId="77777777" w:rsidTr="00A03283">
        <w:tc>
          <w:tcPr>
            <w:tcW w:w="3767" w:type="dxa"/>
          </w:tcPr>
          <w:p w14:paraId="729A1D21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14:paraId="1D5C7CFE" w14:textId="77777777" w:rsidR="00DD56CE" w:rsidRPr="00123044" w:rsidRDefault="007B7A43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14:paraId="07662827" w14:textId="77777777" w:rsidTr="008373F0">
        <w:tc>
          <w:tcPr>
            <w:tcW w:w="9345" w:type="dxa"/>
            <w:gridSpan w:val="2"/>
          </w:tcPr>
          <w:p w14:paraId="5F904097" w14:textId="77777777" w:rsidR="00A03283" w:rsidRPr="00123044" w:rsidRDefault="00A03283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14:paraId="3C0ADA51" w14:textId="77777777" w:rsidR="00A03283" w:rsidRPr="00123044" w:rsidRDefault="00A03283" w:rsidP="00AE4DBA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751F01A8" w14:textId="77777777" w:rsidR="00A03283" w:rsidRPr="00123044" w:rsidRDefault="00A03283" w:rsidP="00DE2FDE">
      <w:pPr>
        <w:pStyle w:val="ListParagraph"/>
        <w:ind w:left="0"/>
        <w:jc w:val="center"/>
        <w:rPr>
          <w:b/>
          <w:lang w:val="uk-UA"/>
        </w:rPr>
      </w:pPr>
    </w:p>
    <w:p w14:paraId="418F91A7" w14:textId="77777777" w:rsidR="00DE2FDE" w:rsidRPr="00123044" w:rsidRDefault="00DE2FDE" w:rsidP="00DE2FDE">
      <w:pPr>
        <w:pStyle w:val="ListParagraph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123044" w14:paraId="036E379F" w14:textId="77777777" w:rsidTr="00C32921">
        <w:tc>
          <w:tcPr>
            <w:tcW w:w="9345" w:type="dxa"/>
          </w:tcPr>
          <w:p w14:paraId="3BD384D1" w14:textId="77777777" w:rsidR="00C32E2F" w:rsidRPr="00123044" w:rsidRDefault="00C32E2F" w:rsidP="00A03283">
            <w:pPr>
              <w:jc w:val="both"/>
              <w:rPr>
                <w:b/>
                <w:lang w:val="uk-UA"/>
              </w:rPr>
            </w:pPr>
            <w:r w:rsidRPr="00123044">
              <w:rPr>
                <w:b/>
                <w:lang w:val="uk-UA"/>
              </w:rPr>
              <w:t>Анотація</w:t>
            </w:r>
            <w:r w:rsidR="00B701BF" w:rsidRPr="00123044">
              <w:rPr>
                <w:b/>
                <w:lang w:val="uk-UA"/>
              </w:rPr>
              <w:t xml:space="preserve"> курсу</w:t>
            </w:r>
          </w:p>
          <w:p w14:paraId="247DA6A1" w14:textId="54188A1F" w:rsidR="00CA469E" w:rsidRPr="00123044" w:rsidRDefault="008247F6" w:rsidP="008766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Лабораторний ку</w:t>
            </w:r>
            <w:r w:rsidR="00540567">
              <w:rPr>
                <w:lang w:val="uk-UA"/>
              </w:rPr>
              <w:t>рс «Великий практикум з експериментальної біології</w:t>
            </w:r>
            <w:r>
              <w:rPr>
                <w:lang w:val="uk-UA"/>
              </w:rPr>
              <w:t>» є логічним продовженням теоретичного</w:t>
            </w:r>
            <w:r w:rsidR="00540567">
              <w:rPr>
                <w:lang w:val="uk-UA"/>
              </w:rPr>
              <w:t xml:space="preserve"> курсу «Вступ в експериментальну біологію</w:t>
            </w:r>
            <w:r>
              <w:rPr>
                <w:lang w:val="uk-UA"/>
              </w:rPr>
              <w:t>». Саме у цьому курсі студенти отримують можливість закріп</w:t>
            </w:r>
            <w:r w:rsidR="00540567">
              <w:rPr>
                <w:lang w:val="uk-UA"/>
              </w:rPr>
              <w:t>ити теоретичні знання</w:t>
            </w:r>
            <w:r>
              <w:rPr>
                <w:lang w:val="uk-UA"/>
              </w:rPr>
              <w:t xml:space="preserve"> на практиці та оволодіти основними методиками та методами, якими оперує сучасна дин</w:t>
            </w:r>
            <w:r w:rsidR="00540567">
              <w:rPr>
                <w:lang w:val="uk-UA"/>
              </w:rPr>
              <w:t>амічна та функціональна експериментальна біологія</w:t>
            </w:r>
            <w:r>
              <w:rPr>
                <w:lang w:val="uk-UA"/>
              </w:rPr>
              <w:t xml:space="preserve">. </w:t>
            </w:r>
            <w:r w:rsidR="00540567">
              <w:rPr>
                <w:lang w:val="uk-UA"/>
              </w:rPr>
              <w:t xml:space="preserve">Частина курсу включає проведення експериментів з використанням плодової мушки </w:t>
            </w:r>
            <w:r w:rsidR="00540567" w:rsidRPr="00540567">
              <w:rPr>
                <w:i/>
                <w:lang w:val="en-GB"/>
              </w:rPr>
              <w:t>D. melanogaster</w:t>
            </w:r>
            <w:r w:rsidR="00540567">
              <w:rPr>
                <w:lang w:val="en-GB"/>
              </w:rPr>
              <w:t xml:space="preserve">, </w:t>
            </w:r>
            <w:r w:rsidR="00540567" w:rsidRPr="00D20128">
              <w:rPr>
                <w:lang w:val="uk-UA"/>
              </w:rPr>
              <w:t xml:space="preserve">як модельного </w:t>
            </w:r>
            <w:r w:rsidR="00D20128" w:rsidRPr="00D20128">
              <w:rPr>
                <w:lang w:val="uk-UA"/>
              </w:rPr>
              <w:t>об’єкту</w:t>
            </w:r>
            <w:r w:rsidR="00D20128">
              <w:rPr>
                <w:lang w:val="uk-UA"/>
              </w:rPr>
              <w:t xml:space="preserve"> для вивчення фізіологічних показників таких як </w:t>
            </w:r>
            <w:r w:rsidR="00D20128" w:rsidRPr="00BA5CAD">
              <w:rPr>
                <w:lang w:val="uk-UA"/>
              </w:rPr>
              <w:t>розвиток, тривалість життя, репродуктивна здатність, харчова поведінка, чутливість до стресів і токсикантів.</w:t>
            </w:r>
            <w:r w:rsidR="00540567" w:rsidRPr="00BA5CAD">
              <w:rPr>
                <w:lang w:val="uk-UA"/>
              </w:rPr>
              <w:t xml:space="preserve"> </w:t>
            </w:r>
            <w:r w:rsidR="00BA5CAD" w:rsidRPr="00BA5CAD">
              <w:rPr>
                <w:lang w:val="uk-UA"/>
              </w:rPr>
              <w:t>Частина робіт</w:t>
            </w:r>
            <w:r w:rsidR="00BA5CAD">
              <w:rPr>
                <w:lang w:val="uk-UA"/>
              </w:rPr>
              <w:t xml:space="preserve"> буде пов’язана з генетичними методами і використання системи </w:t>
            </w:r>
            <w:r w:rsidR="00BA5CAD">
              <w:rPr>
                <w:lang w:val="en-GB"/>
              </w:rPr>
              <w:t>UAS-GAL4</w:t>
            </w:r>
            <w:r w:rsidR="00BA5CAD">
              <w:rPr>
                <w:lang w:val="uk-UA"/>
              </w:rPr>
              <w:t xml:space="preserve"> для отримання мух з надекспрецією або нокдауном конкретних генів у певних тканинах або клітинах.</w:t>
            </w:r>
            <w:r w:rsidR="00BA5CAD" w:rsidRPr="00BA5CAD">
              <w:rPr>
                <w:lang w:val="uk-UA"/>
              </w:rPr>
              <w:t xml:space="preserve"> </w:t>
            </w:r>
            <w:r w:rsidRPr="00BA5CAD">
              <w:rPr>
                <w:lang w:val="uk-UA"/>
              </w:rPr>
              <w:t xml:space="preserve">Значна частина курсу передбачає роботу з ферментами як важливої групи біомолекул, які контролюють швидкість метаболічних процесів в організмі. Зміна активності певного ферменту веде за собою до змін у метаболізмі, може покращувати адаптивні можливості організму або навпаки, призводити до різних порушень. </w:t>
            </w:r>
            <w:r w:rsidR="00BA5CAD">
              <w:rPr>
                <w:lang w:val="uk-UA"/>
              </w:rPr>
              <w:t xml:space="preserve">Також частина робіт </w:t>
            </w:r>
            <w:r w:rsidR="00DF6F86" w:rsidRPr="00BA5CAD">
              <w:rPr>
                <w:lang w:val="uk-UA"/>
              </w:rPr>
              <w:t>практикуму буде присвячена визначенн</w:t>
            </w:r>
            <w:r w:rsidR="00D50B33" w:rsidRPr="00BA5CAD">
              <w:rPr>
                <w:lang w:val="uk-UA"/>
              </w:rPr>
              <w:t>ю</w:t>
            </w:r>
            <w:r w:rsidR="00DF6F86" w:rsidRPr="00BA5CAD">
              <w:rPr>
                <w:lang w:val="uk-UA"/>
              </w:rPr>
              <w:t xml:space="preserve"> вмісту важливих </w:t>
            </w:r>
            <w:r w:rsidR="00D50B33" w:rsidRPr="00BA5CAD">
              <w:rPr>
                <w:lang w:val="uk-UA"/>
              </w:rPr>
              <w:t>метаболітів</w:t>
            </w:r>
            <w:r w:rsidR="00DF6F86" w:rsidRPr="00BA5CAD">
              <w:rPr>
                <w:lang w:val="uk-UA"/>
              </w:rPr>
              <w:t xml:space="preserve"> ферментативними методами (вміст глюкози, </w:t>
            </w:r>
            <w:r w:rsidR="00D23901" w:rsidRPr="00BA5CAD">
              <w:rPr>
                <w:lang w:val="uk-UA"/>
              </w:rPr>
              <w:t>глікогену</w:t>
            </w:r>
            <w:r w:rsidR="00D50B33" w:rsidRPr="00BA5CAD">
              <w:rPr>
                <w:lang w:val="uk-UA"/>
              </w:rPr>
              <w:t xml:space="preserve">, </w:t>
            </w:r>
            <w:r w:rsidR="00DF6F86" w:rsidRPr="00BA5CAD">
              <w:rPr>
                <w:lang w:val="uk-UA"/>
              </w:rPr>
              <w:t>тр</w:t>
            </w:r>
            <w:r w:rsidR="00BA5CAD">
              <w:rPr>
                <w:lang w:val="uk-UA"/>
              </w:rPr>
              <w:t>егалози, тр</w:t>
            </w:r>
            <w:r w:rsidR="00DF6F86" w:rsidRPr="00BA5CAD">
              <w:rPr>
                <w:lang w:val="uk-UA"/>
              </w:rPr>
              <w:t>иаци</w:t>
            </w:r>
            <w:r w:rsidR="00D23901" w:rsidRPr="00BA5CAD">
              <w:rPr>
                <w:lang w:val="uk-UA"/>
              </w:rPr>
              <w:t>л</w:t>
            </w:r>
            <w:r w:rsidR="00DF6F86" w:rsidRPr="00BA5CAD">
              <w:rPr>
                <w:lang w:val="uk-UA"/>
              </w:rPr>
              <w:t>гліцеридів</w:t>
            </w:r>
            <w:r w:rsidR="00D50B33" w:rsidRPr="00BA5CAD">
              <w:rPr>
                <w:lang w:val="uk-UA"/>
              </w:rPr>
              <w:t>, холестеролу) спектрофотометричними</w:t>
            </w:r>
            <w:r w:rsidR="00D50B33">
              <w:rPr>
                <w:lang w:val="uk-UA"/>
              </w:rPr>
              <w:t xml:space="preserve"> та колориметричними методами. Студенти протягом курсу вдосконалять лабораторні навики та навики роботи на спецустаткуванні біохімічної лабораторії (ваги, рН метри, магнітні мішалки, </w:t>
            </w:r>
            <w:r w:rsidR="00876655">
              <w:rPr>
                <w:lang w:val="uk-UA"/>
              </w:rPr>
              <w:t xml:space="preserve">піпет-дозатори, </w:t>
            </w:r>
            <w:r w:rsidR="00BC0E46">
              <w:rPr>
                <w:lang w:val="uk-UA"/>
              </w:rPr>
              <w:t>центрифуги,</w:t>
            </w:r>
            <w:r w:rsidR="00876655">
              <w:rPr>
                <w:lang w:val="uk-UA"/>
              </w:rPr>
              <w:t xml:space="preserve"> </w:t>
            </w:r>
            <w:r w:rsidR="00D50B33">
              <w:rPr>
                <w:lang w:val="uk-UA"/>
              </w:rPr>
              <w:t>спектрофотометри, імунофер</w:t>
            </w:r>
            <w:r w:rsidR="00BC0E46">
              <w:rPr>
                <w:lang w:val="uk-UA"/>
              </w:rPr>
              <w:t xml:space="preserve">ментний аналізатор, </w:t>
            </w:r>
            <w:r w:rsidR="00D50B33">
              <w:rPr>
                <w:lang w:val="uk-UA"/>
              </w:rPr>
              <w:t>прилад для електрофорезу</w:t>
            </w:r>
            <w:r w:rsidR="00876655">
              <w:rPr>
                <w:lang w:val="uk-UA"/>
              </w:rPr>
              <w:t xml:space="preserve"> та ін.)</w:t>
            </w:r>
            <w:r w:rsidR="00D50B33">
              <w:rPr>
                <w:lang w:val="uk-UA"/>
              </w:rPr>
              <w:t>.</w:t>
            </w:r>
            <w:r w:rsidR="00876655">
              <w:rPr>
                <w:lang w:val="uk-UA"/>
              </w:rPr>
              <w:t xml:space="preserve"> Окрім того, студенти </w:t>
            </w:r>
            <w:r w:rsidR="00D23901">
              <w:rPr>
                <w:lang w:val="uk-UA"/>
              </w:rPr>
              <w:t>навчаться</w:t>
            </w:r>
            <w:r w:rsidR="00876655">
              <w:rPr>
                <w:lang w:val="uk-UA"/>
              </w:rPr>
              <w:t xml:space="preserve"> коректно</w:t>
            </w:r>
            <w:r w:rsidR="005B7FBB">
              <w:rPr>
                <w:lang w:val="uk-UA"/>
              </w:rPr>
              <w:t xml:space="preserve"> планувати </w:t>
            </w:r>
            <w:r w:rsidR="001A141D">
              <w:rPr>
                <w:lang w:val="uk-UA"/>
              </w:rPr>
              <w:t xml:space="preserve">і закладати </w:t>
            </w:r>
            <w:bookmarkStart w:id="0" w:name="_GoBack"/>
            <w:bookmarkEnd w:id="0"/>
            <w:r w:rsidR="005B7FBB">
              <w:rPr>
                <w:lang w:val="uk-UA"/>
              </w:rPr>
              <w:t>експерименти, підбирати методики,</w:t>
            </w:r>
            <w:r w:rsidR="00876655">
              <w:rPr>
                <w:lang w:val="uk-UA"/>
              </w:rPr>
              <w:t xml:space="preserve"> готувати реакційні суміші для ферментів, </w:t>
            </w:r>
            <w:r w:rsidR="00876655" w:rsidRPr="00CA469E">
              <w:rPr>
                <w:spacing w:val="-1"/>
                <w:lang w:val="uk-UA"/>
              </w:rPr>
              <w:t xml:space="preserve">проводити математичну та статистичну обробку експериментальних </w:t>
            </w:r>
            <w:r w:rsidR="00876655" w:rsidRPr="00CA469E">
              <w:rPr>
                <w:spacing w:val="-3"/>
                <w:lang w:val="uk-UA"/>
              </w:rPr>
              <w:t xml:space="preserve">даних; </w:t>
            </w:r>
            <w:r w:rsidR="00876655" w:rsidRPr="00CA469E">
              <w:rPr>
                <w:lang w:val="uk-UA"/>
              </w:rPr>
              <w:lastRenderedPageBreak/>
              <w:t>підбирати та використовувати наукову та методичну літературу</w:t>
            </w:r>
            <w:r w:rsidR="00876655">
              <w:rPr>
                <w:lang w:val="uk-UA"/>
              </w:rPr>
              <w:t xml:space="preserve">. </w:t>
            </w:r>
          </w:p>
        </w:tc>
      </w:tr>
      <w:tr w:rsidR="00DE2FDE" w:rsidRPr="0063077A" w14:paraId="2069D8D5" w14:textId="77777777" w:rsidTr="00C32921">
        <w:tc>
          <w:tcPr>
            <w:tcW w:w="9345" w:type="dxa"/>
          </w:tcPr>
          <w:p w14:paraId="36588D07" w14:textId="77777777" w:rsidR="00DE2FDE" w:rsidRPr="0063077A" w:rsidRDefault="00DE2FDE" w:rsidP="00F22016">
            <w:pPr>
              <w:pStyle w:val="ListParagraph"/>
              <w:ind w:left="0"/>
              <w:jc w:val="both"/>
              <w:rPr>
                <w:i/>
                <w:lang w:val="uk-UA"/>
              </w:rPr>
            </w:pPr>
            <w:r w:rsidRPr="0063077A">
              <w:rPr>
                <w:i/>
                <w:lang w:val="uk-UA"/>
              </w:rPr>
              <w:lastRenderedPageBreak/>
              <w:t>Компетентності</w:t>
            </w:r>
            <w:r w:rsidR="00DE4B7A" w:rsidRPr="0063077A">
              <w:rPr>
                <w:i/>
                <w:lang w:val="uk-UA"/>
              </w:rPr>
              <w:t xml:space="preserve"> (відповідно до матриці ОП):</w:t>
            </w:r>
          </w:p>
          <w:p w14:paraId="7E271D35" w14:textId="77777777" w:rsidR="0069038F" w:rsidRPr="0063077A" w:rsidRDefault="00C32921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63077A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Загальні компетентності (ЗК)</w:t>
            </w:r>
          </w:p>
          <w:p w14:paraId="3D986806" w14:textId="77777777" w:rsidR="00C32921" w:rsidRPr="0063077A" w:rsidRDefault="00C32921" w:rsidP="00C32921">
            <w:pPr>
              <w:pStyle w:val="TableParagraph"/>
              <w:tabs>
                <w:tab w:val="left" w:pos="1076"/>
                <w:tab w:val="left" w:pos="2497"/>
                <w:tab w:val="left" w:pos="4471"/>
                <w:tab w:val="left" w:pos="5576"/>
                <w:tab w:val="left" w:pos="6001"/>
              </w:tabs>
              <w:ind w:left="109" w:right="100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ЗК03. Здатність застосовувати знання у </w:t>
            </w:r>
            <w:r w:rsidRPr="0063077A">
              <w:rPr>
                <w:spacing w:val="-3"/>
                <w:sz w:val="20"/>
                <w:szCs w:val="20"/>
                <w:lang w:val="uk-UA"/>
              </w:rPr>
              <w:t xml:space="preserve">практичних </w:t>
            </w:r>
            <w:r w:rsidRPr="0063077A">
              <w:rPr>
                <w:sz w:val="20"/>
                <w:szCs w:val="20"/>
                <w:lang w:val="uk-UA"/>
              </w:rPr>
              <w:t>ситуаціях.</w:t>
            </w:r>
          </w:p>
          <w:p w14:paraId="1ADB8C11" w14:textId="77777777" w:rsidR="00C32921" w:rsidRPr="0063077A" w:rsidRDefault="00C32921" w:rsidP="00C32921">
            <w:pPr>
              <w:pStyle w:val="TableParagraph"/>
              <w:shd w:val="clear" w:color="auto" w:fill="FFFFFF"/>
              <w:tabs>
                <w:tab w:val="left" w:pos="1072"/>
                <w:tab w:val="left" w:pos="2484"/>
                <w:tab w:val="left" w:pos="3050"/>
                <w:tab w:val="left" w:pos="4323"/>
                <w:tab w:val="left" w:pos="6006"/>
                <w:tab w:val="left" w:pos="6536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ЗК04. Здатність до пошуку, оброблення та </w:t>
            </w:r>
            <w:r w:rsidRPr="0063077A">
              <w:rPr>
                <w:spacing w:val="-4"/>
                <w:sz w:val="20"/>
                <w:szCs w:val="20"/>
                <w:lang w:val="uk-UA"/>
              </w:rPr>
              <w:t xml:space="preserve">аналізу </w:t>
            </w:r>
            <w:r w:rsidRPr="0063077A">
              <w:rPr>
                <w:sz w:val="20"/>
                <w:szCs w:val="20"/>
                <w:lang w:val="uk-UA"/>
              </w:rPr>
              <w:t>інформації з різнихджерел.</w:t>
            </w:r>
          </w:p>
          <w:p w14:paraId="73993280" w14:textId="77777777" w:rsidR="00C32921" w:rsidRPr="0063077A" w:rsidRDefault="00C32921" w:rsidP="00C32921">
            <w:pPr>
              <w:pStyle w:val="TableParagraph"/>
              <w:spacing w:line="242" w:lineRule="auto"/>
              <w:ind w:left="109" w:right="25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ЗК05. Здатність спілкуватися державною мовою як усно так і письмово.</w:t>
            </w:r>
          </w:p>
          <w:p w14:paraId="57335FE5" w14:textId="77777777" w:rsidR="00C32921" w:rsidRPr="0063077A" w:rsidRDefault="00C32921" w:rsidP="00C32921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ЗК07. </w:t>
            </w:r>
            <w:r w:rsidRPr="0063077A">
              <w:rPr>
                <w:spacing w:val="-3"/>
                <w:sz w:val="20"/>
                <w:szCs w:val="20"/>
                <w:lang w:val="uk-UA"/>
              </w:rPr>
              <w:t xml:space="preserve">Здатність </w:t>
            </w:r>
            <w:r w:rsidRPr="0063077A">
              <w:rPr>
                <w:sz w:val="20"/>
                <w:szCs w:val="20"/>
                <w:lang w:val="uk-UA"/>
              </w:rPr>
              <w:t xml:space="preserve">вчитися і оволодівати сучасними знаннями. </w:t>
            </w:r>
          </w:p>
          <w:p w14:paraId="68F2B6B8" w14:textId="77777777" w:rsidR="00C32921" w:rsidRPr="0063077A" w:rsidRDefault="00C32921" w:rsidP="00C32921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ЗК08. Здатність до абстрактного мислення, аналізу </w:t>
            </w:r>
            <w:r w:rsidRPr="0063077A">
              <w:rPr>
                <w:spacing w:val="-18"/>
                <w:sz w:val="20"/>
                <w:szCs w:val="20"/>
                <w:lang w:val="uk-UA"/>
              </w:rPr>
              <w:t xml:space="preserve">і </w:t>
            </w:r>
            <w:r w:rsidRPr="0063077A">
              <w:rPr>
                <w:sz w:val="20"/>
                <w:szCs w:val="20"/>
                <w:lang w:val="uk-UA"/>
              </w:rPr>
              <w:t>синтез.</w:t>
            </w:r>
          </w:p>
          <w:p w14:paraId="4258AB94" w14:textId="77777777" w:rsidR="00C32921" w:rsidRPr="0063077A" w:rsidRDefault="00C32921" w:rsidP="00C32921">
            <w:pPr>
              <w:ind w:left="118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ЗК10. Здатність працювати в команді, зокрема здатність виконувати лабораторні дослідження в групі під керівництвом лідера, подібні навички, що демонструють здатність до врахування строгих вимог дисципліни, планування та управління часом.</w:t>
            </w:r>
          </w:p>
          <w:p w14:paraId="5EBB1478" w14:textId="77777777" w:rsidR="00C32921" w:rsidRPr="0063077A" w:rsidRDefault="00C32921" w:rsidP="00C32921">
            <w:pPr>
              <w:ind w:left="104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ЗК11. Навички безпечної діяльності.</w:t>
            </w:r>
          </w:p>
          <w:p w14:paraId="4A0D3947" w14:textId="77777777" w:rsidR="00C32921" w:rsidRPr="0063077A" w:rsidRDefault="00C32921" w:rsidP="00C32921">
            <w:pPr>
              <w:pStyle w:val="ListParagraph"/>
              <w:ind w:left="0"/>
              <w:jc w:val="both"/>
              <w:rPr>
                <w:sz w:val="20"/>
                <w:szCs w:val="20"/>
                <w:lang w:val="uk-UA"/>
              </w:rPr>
            </w:pPr>
          </w:p>
          <w:p w14:paraId="785B3208" w14:textId="77777777" w:rsidR="00C32921" w:rsidRPr="0063077A" w:rsidRDefault="00C32921" w:rsidP="00C32921">
            <w:pPr>
              <w:pStyle w:val="ListParagraph"/>
              <w:ind w:left="0"/>
              <w:jc w:val="both"/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</w:pPr>
            <w:r w:rsidRPr="0063077A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Спеціальні (фахові) компетентності спеціальності (ФК)</w:t>
            </w:r>
          </w:p>
          <w:p w14:paraId="5D9B438E" w14:textId="77777777" w:rsidR="00DA7CF7" w:rsidRPr="0063077A" w:rsidRDefault="00DA7CF7" w:rsidP="00DA7CF7">
            <w:pPr>
              <w:pStyle w:val="TableParagraph"/>
              <w:spacing w:line="242" w:lineRule="auto"/>
              <w:ind w:left="109" w:right="96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ФК02. Здатність демонструвати базові теоретичні знання в галузі біологічних наук та на межі предметних галузей. </w:t>
            </w:r>
          </w:p>
          <w:p w14:paraId="287B9918" w14:textId="77777777" w:rsidR="00DA7CF7" w:rsidRPr="0063077A" w:rsidRDefault="00DA7CF7" w:rsidP="00DA7CF7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ФК03. Здатність досліджувати різні рівні організації живого, біологічні явища і процеси.</w:t>
            </w:r>
          </w:p>
          <w:p w14:paraId="28AD06E3" w14:textId="77777777" w:rsidR="00DA7CF7" w:rsidRPr="0063077A" w:rsidRDefault="00DA7CF7" w:rsidP="00DA7CF7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ФК04.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14:paraId="10EDEBCA" w14:textId="77777777"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ФК11. Здатність  працювати  з  біологічними  агентами, використовуваними  у  біотехнологічних  процесах (мікроорганізми, гриби, рослини, тварини, віруси, окремі їхні компоненти).</w:t>
            </w:r>
          </w:p>
          <w:p w14:paraId="127B5623" w14:textId="77777777"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ФК12. Здатність  здійснювати  експериментальні  дослідження  з вдосконалення  біологічних  агентів,  у  тому  числі  викликати зміни  у  структурі  спадкового  апарату  та  функціональній активності біологічних агентів.</w:t>
            </w:r>
          </w:p>
          <w:p w14:paraId="20A44792" w14:textId="77777777"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ФК13. Здатність  проводити  аналіз  сировини,  матеріалів, напівпродуктів,  цільових  продуктів  біотехнологічного виробництва.</w:t>
            </w:r>
          </w:p>
          <w:p w14:paraId="595A711F" w14:textId="77777777"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ФК14. Здатність на основі аналізу доступної інформації спланувати та/або виконати лабораторні дослідження у галузі експериментальної біології, клінічної біохімії чи окремих галузей біотехнології.</w:t>
            </w:r>
          </w:p>
          <w:p w14:paraId="7DB29E3B" w14:textId="77777777"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ФК15. Здатність  використовувати  методології  проектування виробництв біотехнологічних продуктів різного призначення.</w:t>
            </w:r>
          </w:p>
          <w:p w14:paraId="486D33D2" w14:textId="77777777" w:rsidR="00C32921" w:rsidRPr="0063077A" w:rsidRDefault="00DA7CF7" w:rsidP="00DA7CF7">
            <w:pPr>
              <w:pStyle w:val="ListParagraph"/>
              <w:ind w:left="0"/>
              <w:jc w:val="both"/>
              <w:rPr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ФК16. Здатність обирати і використовувати відповідне обладнання, інструменти та  методи  для  реалізації  та контролю  виробництв  біотехнологічних  продуктів  різного призначення.</w:t>
            </w:r>
          </w:p>
        </w:tc>
      </w:tr>
      <w:tr w:rsidR="00C32921" w:rsidRPr="0063077A" w14:paraId="4625693A" w14:textId="77777777" w:rsidTr="00C32921">
        <w:tc>
          <w:tcPr>
            <w:tcW w:w="9345" w:type="dxa"/>
          </w:tcPr>
          <w:p w14:paraId="17B0192E" w14:textId="77777777" w:rsidR="00DA7CF7" w:rsidRPr="0063077A" w:rsidRDefault="00DA7CF7" w:rsidP="00C32921">
            <w:pPr>
              <w:pStyle w:val="BodyText"/>
              <w:tabs>
                <w:tab w:val="left" w:pos="9392"/>
              </w:tabs>
              <w:ind w:left="313" w:right="244"/>
              <w:jc w:val="both"/>
              <w:rPr>
                <w:sz w:val="20"/>
                <w:szCs w:val="20"/>
                <w:lang w:val="uk-UA" w:eastAsia="en-US"/>
              </w:rPr>
            </w:pPr>
          </w:p>
          <w:p w14:paraId="59C2BD38" w14:textId="77777777" w:rsidR="00DA7CF7" w:rsidRPr="0063077A" w:rsidRDefault="00DA7CF7" w:rsidP="00DA7CF7">
            <w:pPr>
              <w:pStyle w:val="ListParagraph"/>
              <w:ind w:left="0"/>
              <w:rPr>
                <w:i/>
                <w:lang w:val="uk-UA"/>
              </w:rPr>
            </w:pPr>
            <w:r w:rsidRPr="0063077A">
              <w:rPr>
                <w:i/>
                <w:lang w:val="uk-UA"/>
              </w:rPr>
              <w:t>Програмні результати навчання (відповідно до матриці ОП):</w:t>
            </w:r>
          </w:p>
          <w:p w14:paraId="1EE20070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24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ПР01. Розуміти соціальні та економічні наслідки впровадження новітніх розробок у галузі біології та біотехнології у професійній діяльності.</w:t>
            </w:r>
          </w:p>
          <w:p w14:paraId="5F377C29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0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pacing w:val="-3"/>
                <w:sz w:val="20"/>
                <w:szCs w:val="20"/>
                <w:lang w:val="uk-UA" w:eastAsia="en-US"/>
              </w:rPr>
              <w:t xml:space="preserve">ПР02. Застосовувати сучасні інформаційні технології, програмні засоби </w:t>
            </w:r>
            <w:r w:rsidRPr="0063077A">
              <w:rPr>
                <w:sz w:val="20"/>
                <w:szCs w:val="20"/>
                <w:lang w:val="uk-UA" w:eastAsia="en-US"/>
              </w:rPr>
              <w:t xml:space="preserve">та </w:t>
            </w:r>
            <w:r w:rsidRPr="0063077A">
              <w:rPr>
                <w:spacing w:val="-3"/>
                <w:sz w:val="20"/>
                <w:szCs w:val="20"/>
                <w:lang w:val="uk-UA" w:eastAsia="en-US"/>
              </w:rPr>
              <w:t xml:space="preserve">ресурси Інтернету </w:t>
            </w:r>
            <w:r w:rsidRPr="0063077A">
              <w:rPr>
                <w:spacing w:val="-2"/>
                <w:sz w:val="20"/>
                <w:szCs w:val="20"/>
                <w:lang w:val="uk-UA" w:eastAsia="en-US"/>
              </w:rPr>
              <w:t xml:space="preserve">для </w:t>
            </w:r>
            <w:r w:rsidRPr="0063077A">
              <w:rPr>
                <w:spacing w:val="-3"/>
                <w:sz w:val="20"/>
                <w:szCs w:val="20"/>
                <w:lang w:val="uk-UA" w:eastAsia="en-US"/>
              </w:rPr>
              <w:t>інформаційного забезпечення професійної діяльності.</w:t>
            </w:r>
          </w:p>
          <w:p w14:paraId="6EA328ED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13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ПР03. Планувати, виконувати, аналізувати дані і презентувати результати експериментальних досліджень в галузі біології та біотехнологічних розробок.</w:t>
            </w:r>
          </w:p>
          <w:p w14:paraId="04660BDB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08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ПР04. Спілкуватися усно і письмово з професійних питань з використанням наукових термінів, прийнятих у фаховому середовищі, державною та англійською мовами.</w:t>
            </w:r>
          </w:p>
          <w:p w14:paraId="59E1787E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17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ПР05. Демонструвати навички оцінювання непередбачуваних біологічних проблем і обдуманого вибору шляхів їх вирішення</w:t>
            </w:r>
          </w:p>
          <w:p w14:paraId="39D872DC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21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ПР07. Володіти прийомами самоосвіти і самовдосконалення. Уміти проектувати траєкторію професійного росту й особистого розвитку, застосовуючи набуті знання.</w:t>
            </w:r>
          </w:p>
          <w:p w14:paraId="3FBB29C7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1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ПР08. Знати та розуміти основні терміни, концепції, теорії і закони в галузі біологічних наук і на межі предметних галузей.</w:t>
            </w:r>
          </w:p>
          <w:p w14:paraId="0A3E988E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1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ПР09. 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  <w:p w14:paraId="1E6F2A39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313" w:right="31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</w:t>
            </w:r>
          </w:p>
          <w:p w14:paraId="29B38DBF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284" w:right="31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ПР19.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організації.</w:t>
            </w:r>
          </w:p>
          <w:p w14:paraId="6851A556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284" w:right="285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</w:t>
            </w:r>
          </w:p>
          <w:p w14:paraId="1F40C2FD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ind w:left="284" w:right="285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ПР22. Поєднувати навички самостійної та командної роботи задля отримання результату з акцентом на доброчесність, професійну сумлінність та відповідальність за прийняття рішень.</w:t>
            </w:r>
          </w:p>
          <w:p w14:paraId="12852939" w14:textId="77777777" w:rsidR="00C32921" w:rsidRPr="0063077A" w:rsidRDefault="00C32921" w:rsidP="00C32921">
            <w:pPr>
              <w:pStyle w:val="BodyText"/>
              <w:tabs>
                <w:tab w:val="left" w:pos="9392"/>
              </w:tabs>
              <w:spacing w:line="321" w:lineRule="exact"/>
              <w:ind w:left="28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ПР23. Реалізувати свої права і обов’язки як члена суспільства.</w:t>
            </w:r>
          </w:p>
          <w:p w14:paraId="198B23DC" w14:textId="77777777"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 xml:space="preserve">ПР25. Вміти розраховувати склад поживних середовищ, визначати особливості їх приготування та </w:t>
            </w:r>
            <w:r w:rsidRPr="0063077A">
              <w:rPr>
                <w:bCs/>
                <w:sz w:val="20"/>
                <w:szCs w:val="20"/>
                <w:lang w:val="uk-UA"/>
              </w:rPr>
              <w:lastRenderedPageBreak/>
              <w:t xml:space="preserve">стерилізації, здійснювати контроль якості сировини та готової продукції на основі знань про фізико-хімічні властивості органічних та неорганічних речовин. </w:t>
            </w:r>
          </w:p>
          <w:p w14:paraId="09EB7296" w14:textId="77777777"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 xml:space="preserve">ПР26. Вміти визначати якісний і кількісний склад біологічних зразків, аналізувати основні фізико-хімічні властивості органічних сполук, що входять до складу біологічних агентів (білки, нуклеїнові кислоти, вуглеводи, ліпіди). </w:t>
            </w:r>
          </w:p>
          <w:p w14:paraId="289798CB" w14:textId="77777777"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ПP 29. Вміти проводити експериментальні дослідження з метою визначення впливу  фізико-хімічних  та біологічних  факторів  зовнішнього  середовища  на життєдіяльність клітин живих організмів.</w:t>
            </w:r>
          </w:p>
          <w:p w14:paraId="5ACD7557" w14:textId="77777777"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ПР34.Здатність продемонструвати практичні навички у виконанні базових біохімічних аналізів: біохімічний аналіз крові та сечі, визначення хімічного складу рослин, визначення показників білкового, вуглеводного та ліпідного обміну у тканинах та клітинах різних груп організмів; визначення показників, які характеризують окисно-відновні процеси в клітинах.</w:t>
            </w:r>
          </w:p>
          <w:p w14:paraId="171B8365" w14:textId="77777777"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ПР35. Здатність виконувати комп’ютерні обчислення, що мають відношення до біологічних проблем, використовуючи належне програмне забезпечення та знання як аналізувати та відображати результати.</w:t>
            </w:r>
          </w:p>
          <w:p w14:paraId="158C65AD" w14:textId="77777777" w:rsidR="00C32921" w:rsidRPr="0063077A" w:rsidRDefault="00C32921" w:rsidP="00C32921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2442A592" w14:textId="77777777" w:rsidR="00AE4DBA" w:rsidRPr="0063077A" w:rsidRDefault="00AE4DBA" w:rsidP="00DE2FDE">
      <w:pPr>
        <w:pStyle w:val="ListParagraph"/>
        <w:ind w:left="0"/>
        <w:rPr>
          <w:lang w:val="uk-UA"/>
        </w:rPr>
      </w:pPr>
    </w:p>
    <w:p w14:paraId="2BD6A12A" w14:textId="77777777" w:rsidR="00E2245F" w:rsidRPr="0063077A" w:rsidRDefault="00E2245F" w:rsidP="006520A3">
      <w:pPr>
        <w:jc w:val="right"/>
        <w:rPr>
          <w:b/>
          <w:lang w:val="uk-UA"/>
        </w:rPr>
      </w:pPr>
    </w:p>
    <w:p w14:paraId="63F19AE7" w14:textId="77777777" w:rsidR="006520A3" w:rsidRPr="00123044" w:rsidRDefault="00D74B80" w:rsidP="006520A3">
      <w:pPr>
        <w:jc w:val="right"/>
        <w:rPr>
          <w:b/>
          <w:lang w:val="uk-UA"/>
        </w:rPr>
      </w:pPr>
      <w:r w:rsidRPr="0063077A">
        <w:rPr>
          <w:b/>
          <w:lang w:val="uk-UA"/>
        </w:rPr>
        <w:t>В</w:t>
      </w:r>
      <w:r w:rsidR="006520A3" w:rsidRPr="0063077A">
        <w:rPr>
          <w:b/>
          <w:lang w:val="uk-UA"/>
        </w:rPr>
        <w:t>икладач</w:t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8F649D">
        <w:rPr>
          <w:b/>
          <w:lang w:val="uk-UA"/>
        </w:rPr>
        <w:t xml:space="preserve">д.б.н. </w:t>
      </w:r>
      <w:r w:rsidR="002D39E8" w:rsidRPr="00123044">
        <w:rPr>
          <w:b/>
          <w:lang w:val="uk-UA"/>
        </w:rPr>
        <w:t>Байляк</w:t>
      </w:r>
      <w:r w:rsidR="009634F4">
        <w:rPr>
          <w:b/>
          <w:lang w:val="uk-UA"/>
        </w:rPr>
        <w:t xml:space="preserve"> </w:t>
      </w:r>
      <w:r w:rsidR="002D39E8" w:rsidRPr="00123044">
        <w:rPr>
          <w:b/>
          <w:lang w:val="uk-UA"/>
        </w:rPr>
        <w:t>М</w:t>
      </w:r>
      <w:r w:rsidR="008F649D">
        <w:rPr>
          <w:b/>
          <w:lang w:val="uk-UA"/>
        </w:rPr>
        <w:t xml:space="preserve">арія </w:t>
      </w:r>
      <w:r w:rsidR="00E2245F" w:rsidRPr="00123044">
        <w:rPr>
          <w:b/>
          <w:lang w:val="uk-UA"/>
        </w:rPr>
        <w:t>М</w:t>
      </w:r>
      <w:r w:rsidR="008F649D">
        <w:rPr>
          <w:b/>
          <w:lang w:val="uk-UA"/>
        </w:rPr>
        <w:t>ихайлівна</w:t>
      </w: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4793"/>
    <w:rsid w:val="00071F79"/>
    <w:rsid w:val="00072283"/>
    <w:rsid w:val="000850EB"/>
    <w:rsid w:val="000C46E3"/>
    <w:rsid w:val="000D5DD1"/>
    <w:rsid w:val="000D5EE3"/>
    <w:rsid w:val="001039A3"/>
    <w:rsid w:val="00123044"/>
    <w:rsid w:val="00151BC4"/>
    <w:rsid w:val="00184D5D"/>
    <w:rsid w:val="00193CEB"/>
    <w:rsid w:val="001A141D"/>
    <w:rsid w:val="001D35A2"/>
    <w:rsid w:val="002039C2"/>
    <w:rsid w:val="00245156"/>
    <w:rsid w:val="002545FC"/>
    <w:rsid w:val="00254871"/>
    <w:rsid w:val="00274AC3"/>
    <w:rsid w:val="0028411C"/>
    <w:rsid w:val="00285143"/>
    <w:rsid w:val="002A7771"/>
    <w:rsid w:val="002C2330"/>
    <w:rsid w:val="002C278D"/>
    <w:rsid w:val="002D39E8"/>
    <w:rsid w:val="002E16E5"/>
    <w:rsid w:val="00300F9E"/>
    <w:rsid w:val="00335A19"/>
    <w:rsid w:val="00373614"/>
    <w:rsid w:val="00395013"/>
    <w:rsid w:val="003C370C"/>
    <w:rsid w:val="003D23BC"/>
    <w:rsid w:val="003E1483"/>
    <w:rsid w:val="003E294B"/>
    <w:rsid w:val="0040104E"/>
    <w:rsid w:val="004206EC"/>
    <w:rsid w:val="00426BDC"/>
    <w:rsid w:val="0042714F"/>
    <w:rsid w:val="0044513F"/>
    <w:rsid w:val="00457D4E"/>
    <w:rsid w:val="00483A45"/>
    <w:rsid w:val="004C1751"/>
    <w:rsid w:val="004C3A58"/>
    <w:rsid w:val="004D2760"/>
    <w:rsid w:val="004F7AFF"/>
    <w:rsid w:val="005359FC"/>
    <w:rsid w:val="00540567"/>
    <w:rsid w:val="00551662"/>
    <w:rsid w:val="005735C2"/>
    <w:rsid w:val="005B7FBB"/>
    <w:rsid w:val="005C006F"/>
    <w:rsid w:val="005F34AB"/>
    <w:rsid w:val="0063077A"/>
    <w:rsid w:val="006520A3"/>
    <w:rsid w:val="00654CF9"/>
    <w:rsid w:val="006871C7"/>
    <w:rsid w:val="0069038F"/>
    <w:rsid w:val="006A14B2"/>
    <w:rsid w:val="006E1E6B"/>
    <w:rsid w:val="006E665B"/>
    <w:rsid w:val="00774326"/>
    <w:rsid w:val="0078317D"/>
    <w:rsid w:val="00784AB3"/>
    <w:rsid w:val="00797E4C"/>
    <w:rsid w:val="007A2C00"/>
    <w:rsid w:val="007B7A43"/>
    <w:rsid w:val="007D7FE8"/>
    <w:rsid w:val="007F3A0C"/>
    <w:rsid w:val="008163B4"/>
    <w:rsid w:val="008247F6"/>
    <w:rsid w:val="0084333C"/>
    <w:rsid w:val="008676E6"/>
    <w:rsid w:val="00876655"/>
    <w:rsid w:val="008A1B87"/>
    <w:rsid w:val="008A7566"/>
    <w:rsid w:val="008F649D"/>
    <w:rsid w:val="00900FDD"/>
    <w:rsid w:val="00922E60"/>
    <w:rsid w:val="00925030"/>
    <w:rsid w:val="009506C9"/>
    <w:rsid w:val="0095499A"/>
    <w:rsid w:val="009634F4"/>
    <w:rsid w:val="009A2779"/>
    <w:rsid w:val="009A6C88"/>
    <w:rsid w:val="009A7DD1"/>
    <w:rsid w:val="009C6FC9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A5CAD"/>
    <w:rsid w:val="00BC0E46"/>
    <w:rsid w:val="00BC32A7"/>
    <w:rsid w:val="00BC3E1A"/>
    <w:rsid w:val="00BD658E"/>
    <w:rsid w:val="00BF1901"/>
    <w:rsid w:val="00BF3E4D"/>
    <w:rsid w:val="00C321E1"/>
    <w:rsid w:val="00C32921"/>
    <w:rsid w:val="00C32E2F"/>
    <w:rsid w:val="00C32F3F"/>
    <w:rsid w:val="00C50849"/>
    <w:rsid w:val="00C53349"/>
    <w:rsid w:val="00C67355"/>
    <w:rsid w:val="00C81B4F"/>
    <w:rsid w:val="00C97BA8"/>
    <w:rsid w:val="00CA1BE2"/>
    <w:rsid w:val="00CA469E"/>
    <w:rsid w:val="00CB3478"/>
    <w:rsid w:val="00CF3041"/>
    <w:rsid w:val="00D174AA"/>
    <w:rsid w:val="00D20128"/>
    <w:rsid w:val="00D23901"/>
    <w:rsid w:val="00D50B33"/>
    <w:rsid w:val="00D6319B"/>
    <w:rsid w:val="00D700AB"/>
    <w:rsid w:val="00D74B80"/>
    <w:rsid w:val="00D837E9"/>
    <w:rsid w:val="00DA7CF7"/>
    <w:rsid w:val="00DD56CE"/>
    <w:rsid w:val="00DD76A4"/>
    <w:rsid w:val="00DE2FDE"/>
    <w:rsid w:val="00DE4B7A"/>
    <w:rsid w:val="00DF6F86"/>
    <w:rsid w:val="00E05EE0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7949"/>
    <w:rsid w:val="00F31B76"/>
    <w:rsid w:val="00F6627B"/>
    <w:rsid w:val="00F71319"/>
    <w:rsid w:val="00F76FBD"/>
    <w:rsid w:val="00F83073"/>
    <w:rsid w:val="00F9137E"/>
    <w:rsid w:val="00F97D59"/>
    <w:rsid w:val="00FB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D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TableGrid">
    <w:name w:val="Table Grid"/>
    <w:basedOn w:val="TableNormal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76A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Emphasis">
    <w:name w:val="Emphasis"/>
    <w:uiPriority w:val="20"/>
    <w:qFormat/>
    <w:rsid w:val="002D39E8"/>
    <w:rPr>
      <w:i/>
      <w:iCs/>
    </w:rPr>
  </w:style>
  <w:style w:type="character" w:styleId="Strong">
    <w:name w:val="Strong"/>
    <w:uiPriority w:val="22"/>
    <w:qFormat/>
    <w:rsid w:val="002D39E8"/>
    <w:rPr>
      <w:b/>
      <w:bCs/>
    </w:rPr>
  </w:style>
  <w:style w:type="character" w:customStyle="1" w:styleId="a">
    <w:name w:val="Інше_"/>
    <w:link w:val="a0"/>
    <w:rsid w:val="00C329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0">
    <w:name w:val="Інше"/>
    <w:basedOn w:val="Normal"/>
    <w:link w:val="a"/>
    <w:rsid w:val="00C32921"/>
    <w:pPr>
      <w:widowControl w:val="0"/>
      <w:shd w:val="clear" w:color="auto" w:fill="FFFFFF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Normal"/>
    <w:uiPriority w:val="1"/>
    <w:qFormat/>
    <w:rsid w:val="00C3292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C32921"/>
    <w:pPr>
      <w:widowControl w:val="0"/>
      <w:autoSpaceDE w:val="0"/>
      <w:autoSpaceDN w:val="0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329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57585-E876-5646-AA94-DCC8CC0F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1232</Words>
  <Characters>7028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Oleh Lushchak</cp:lastModifiedBy>
  <cp:revision>9</cp:revision>
  <cp:lastPrinted>2020-10-13T06:35:00Z</cp:lastPrinted>
  <dcterms:created xsi:type="dcterms:W3CDTF">2021-04-06T06:57:00Z</dcterms:created>
  <dcterms:modified xsi:type="dcterms:W3CDTF">2021-05-14T06:11:00Z</dcterms:modified>
</cp:coreProperties>
</file>