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433575" w:rsidRDefault="00457D4E" w:rsidP="00457D4E">
      <w:pPr>
        <w:jc w:val="center"/>
        <w:rPr>
          <w:b/>
          <w:u w:val="single"/>
          <w:lang w:val="uk-UA"/>
        </w:rPr>
      </w:pPr>
      <w:r w:rsidRPr="00433575">
        <w:rPr>
          <w:b/>
          <w:u w:val="single"/>
          <w:lang w:val="en-US"/>
        </w:rPr>
        <w:t>M</w:t>
      </w:r>
      <w:r w:rsidRPr="00433575">
        <w:rPr>
          <w:b/>
          <w:u w:val="single"/>
          <w:lang w:val="uk-UA"/>
        </w:rPr>
        <w:t>ОЛЕКУЛЯРН</w:t>
      </w:r>
      <w:r w:rsidR="00C23F1B" w:rsidRPr="00433575">
        <w:rPr>
          <w:b/>
          <w:u w:val="single"/>
          <w:lang w:val="uk-UA"/>
        </w:rPr>
        <w:t>І</w:t>
      </w:r>
      <w:r w:rsidRPr="00433575">
        <w:rPr>
          <w:b/>
          <w:u w:val="single"/>
          <w:lang w:val="uk-UA"/>
        </w:rPr>
        <w:t xml:space="preserve"> </w:t>
      </w:r>
      <w:r w:rsidR="00C23F1B" w:rsidRPr="00433575">
        <w:rPr>
          <w:b/>
          <w:u w:val="single"/>
          <w:lang w:val="uk-UA"/>
        </w:rPr>
        <w:t>МЕХАНІЗМИ СТАРІННЯ</w:t>
      </w:r>
    </w:p>
    <w:p w:rsidR="00395013" w:rsidRPr="00433575" w:rsidRDefault="00395013" w:rsidP="00395013">
      <w:pPr>
        <w:jc w:val="center"/>
        <w:rPr>
          <w:b/>
          <w:u w:val="single"/>
          <w:lang w:val="uk-UA"/>
        </w:rPr>
      </w:pPr>
    </w:p>
    <w:p w:rsidR="00395013" w:rsidRPr="00433575" w:rsidRDefault="00B10A22" w:rsidP="00F83073">
      <w:pPr>
        <w:jc w:val="center"/>
      </w:pPr>
      <w:r w:rsidRPr="00433575">
        <w:rPr>
          <w:lang w:val="uk-UA"/>
        </w:rPr>
        <w:t xml:space="preserve">Освітня </w:t>
      </w:r>
      <w:r w:rsidR="00C67355" w:rsidRPr="00433575">
        <w:t>про</w:t>
      </w:r>
      <w:r w:rsidR="00F83073" w:rsidRPr="00433575">
        <w:rPr>
          <w:lang w:val="uk-UA"/>
        </w:rPr>
        <w:t>грама«</w:t>
      </w:r>
      <w:r w:rsidR="00457D4E" w:rsidRPr="00433575">
        <w:rPr>
          <w:lang w:val="uk-UA"/>
        </w:rPr>
        <w:t>Біохімія</w:t>
      </w:r>
      <w:r w:rsidR="00F83073" w:rsidRPr="00433575">
        <w:rPr>
          <w:lang w:val="uk-UA"/>
        </w:rPr>
        <w:t>»</w:t>
      </w:r>
    </w:p>
    <w:p w:rsidR="00B10A22" w:rsidRPr="00433575" w:rsidRDefault="00F83073" w:rsidP="00F83073">
      <w:pPr>
        <w:jc w:val="center"/>
        <w:rPr>
          <w:lang w:val="uk-UA"/>
        </w:rPr>
      </w:pPr>
      <w:r w:rsidRPr="00433575">
        <w:rPr>
          <w:lang w:val="uk-UA"/>
        </w:rPr>
        <w:t>Спеціальність 0</w:t>
      </w:r>
      <w:r w:rsidR="00457D4E" w:rsidRPr="00433575">
        <w:rPr>
          <w:lang w:val="uk-UA"/>
        </w:rPr>
        <w:t>91</w:t>
      </w:r>
      <w:r w:rsidRPr="00433575">
        <w:rPr>
          <w:lang w:val="uk-UA"/>
        </w:rPr>
        <w:t xml:space="preserve"> «</w:t>
      </w:r>
      <w:r w:rsidR="00457D4E" w:rsidRPr="00433575">
        <w:rPr>
          <w:lang w:val="uk-UA"/>
        </w:rPr>
        <w:t>Біологія</w:t>
      </w:r>
      <w:r w:rsidRPr="00433575">
        <w:rPr>
          <w:lang w:val="uk-UA"/>
        </w:rPr>
        <w:t>»</w:t>
      </w:r>
    </w:p>
    <w:p w:rsidR="00B10A22" w:rsidRPr="00433575" w:rsidRDefault="00F83073" w:rsidP="00F83073">
      <w:pPr>
        <w:jc w:val="center"/>
        <w:rPr>
          <w:lang w:val="uk-UA"/>
        </w:rPr>
      </w:pPr>
      <w:r w:rsidRPr="00433575">
        <w:rPr>
          <w:lang w:val="uk-UA"/>
        </w:rPr>
        <w:t>Галузь знань 0</w:t>
      </w:r>
      <w:r w:rsidR="00457D4E" w:rsidRPr="00433575">
        <w:rPr>
          <w:lang w:val="uk-UA"/>
        </w:rPr>
        <w:t>9</w:t>
      </w:r>
      <w:r w:rsidR="00496092" w:rsidRPr="00433575">
        <w:rPr>
          <w:lang w:val="uk-UA"/>
        </w:rPr>
        <w:t xml:space="preserve"> </w:t>
      </w:r>
      <w:r w:rsidR="00457D4E" w:rsidRPr="00433575">
        <w:rPr>
          <w:lang w:val="uk-UA"/>
        </w:rPr>
        <w:t>Біологія</w:t>
      </w:r>
    </w:p>
    <w:p w:rsidR="00395013" w:rsidRPr="00433575" w:rsidRDefault="00395013" w:rsidP="00395013">
      <w:pPr>
        <w:jc w:val="center"/>
        <w:rPr>
          <w:lang w:val="uk-UA"/>
        </w:rPr>
      </w:pPr>
    </w:p>
    <w:p w:rsidR="002C2330" w:rsidRPr="00433575" w:rsidRDefault="00AE4DBA" w:rsidP="00AE4DBA">
      <w:pPr>
        <w:pStyle w:val="a5"/>
        <w:ind w:left="567"/>
        <w:jc w:val="center"/>
        <w:rPr>
          <w:b/>
          <w:lang w:val="uk-UA"/>
        </w:rPr>
      </w:pPr>
      <w:r w:rsidRPr="00433575">
        <w:rPr>
          <w:b/>
          <w:lang w:val="uk-UA"/>
        </w:rPr>
        <w:t>1. Загальна інформація</w:t>
      </w:r>
    </w:p>
    <w:tbl>
      <w:tblPr>
        <w:tblStyle w:val="a6"/>
        <w:tblW w:w="0" w:type="auto"/>
        <w:tblLook w:val="04A0" w:firstRow="1" w:lastRow="0" w:firstColumn="1" w:lastColumn="0" w:noHBand="0" w:noVBand="1"/>
      </w:tblPr>
      <w:tblGrid>
        <w:gridCol w:w="3767"/>
        <w:gridCol w:w="5804"/>
      </w:tblGrid>
      <w:tr w:rsidR="00433575" w:rsidRPr="00433575" w:rsidTr="00CE6C16">
        <w:tc>
          <w:tcPr>
            <w:tcW w:w="3767" w:type="dxa"/>
          </w:tcPr>
          <w:p w:rsidR="00AE4DBA" w:rsidRPr="00433575" w:rsidRDefault="00AE4DBA" w:rsidP="00AE4DBA">
            <w:pPr>
              <w:pStyle w:val="a5"/>
              <w:ind w:left="0"/>
              <w:rPr>
                <w:lang w:val="uk-UA"/>
              </w:rPr>
            </w:pPr>
            <w:r w:rsidRPr="00433575">
              <w:rPr>
                <w:lang w:val="uk-UA"/>
              </w:rPr>
              <w:t>Назва дисципліни</w:t>
            </w:r>
          </w:p>
        </w:tc>
        <w:tc>
          <w:tcPr>
            <w:tcW w:w="5804" w:type="dxa"/>
          </w:tcPr>
          <w:p w:rsidR="00AE4DBA" w:rsidRPr="00433575" w:rsidRDefault="00457D4E" w:rsidP="00C23F1B">
            <w:pPr>
              <w:pStyle w:val="a5"/>
              <w:ind w:left="0"/>
              <w:rPr>
                <w:lang w:val="uk-UA"/>
              </w:rPr>
            </w:pPr>
            <w:r w:rsidRPr="00433575">
              <w:rPr>
                <w:lang w:val="uk-UA"/>
              </w:rPr>
              <w:t>Молекулярн</w:t>
            </w:r>
            <w:r w:rsidR="00C23F1B" w:rsidRPr="00433575">
              <w:rPr>
                <w:lang w:val="uk-UA"/>
              </w:rPr>
              <w:t>і механізми старіння</w:t>
            </w:r>
          </w:p>
        </w:tc>
      </w:tr>
      <w:tr w:rsidR="00433575" w:rsidRPr="00433575" w:rsidTr="00CE6C16">
        <w:tc>
          <w:tcPr>
            <w:tcW w:w="3767" w:type="dxa"/>
          </w:tcPr>
          <w:p w:rsidR="009D53D5" w:rsidRPr="00433575" w:rsidRDefault="00DD56CE" w:rsidP="00DE2FDE">
            <w:pPr>
              <w:pStyle w:val="a5"/>
              <w:ind w:left="0"/>
              <w:rPr>
                <w:lang w:val="uk-UA"/>
              </w:rPr>
            </w:pPr>
            <w:r w:rsidRPr="00433575">
              <w:rPr>
                <w:lang w:val="uk-UA"/>
              </w:rPr>
              <w:t xml:space="preserve">Освітня програма </w:t>
            </w:r>
          </w:p>
        </w:tc>
        <w:tc>
          <w:tcPr>
            <w:tcW w:w="5804" w:type="dxa"/>
          </w:tcPr>
          <w:p w:rsidR="009D53D5" w:rsidRPr="00433575" w:rsidRDefault="00DD76A4" w:rsidP="00DE2FDE">
            <w:pPr>
              <w:pStyle w:val="a5"/>
              <w:ind w:left="0"/>
              <w:rPr>
                <w:lang w:val="uk-UA"/>
              </w:rPr>
            </w:pPr>
            <w:r w:rsidRPr="00433575">
              <w:rPr>
                <w:lang w:val="uk-UA"/>
              </w:rPr>
              <w:t>«</w:t>
            </w:r>
            <w:r w:rsidR="00457D4E" w:rsidRPr="00433575">
              <w:rPr>
                <w:lang w:val="uk-UA"/>
              </w:rPr>
              <w:t>Біохімія</w:t>
            </w:r>
            <w:r w:rsidRPr="00433575">
              <w:rPr>
                <w:lang w:val="uk-UA"/>
              </w:rPr>
              <w:t>»</w:t>
            </w:r>
          </w:p>
        </w:tc>
      </w:tr>
      <w:tr w:rsidR="00433575" w:rsidRPr="00433575" w:rsidTr="00CE6C16">
        <w:tc>
          <w:tcPr>
            <w:tcW w:w="3767" w:type="dxa"/>
          </w:tcPr>
          <w:p w:rsidR="00AE4DBA" w:rsidRPr="00433575" w:rsidRDefault="00DD56CE" w:rsidP="009D53D5">
            <w:pPr>
              <w:pStyle w:val="a5"/>
              <w:ind w:left="0"/>
              <w:rPr>
                <w:lang w:val="uk-UA"/>
              </w:rPr>
            </w:pPr>
            <w:r w:rsidRPr="00433575">
              <w:rPr>
                <w:lang w:val="uk-UA"/>
              </w:rPr>
              <w:t>Спеціалізація (за наявності)</w:t>
            </w:r>
          </w:p>
        </w:tc>
        <w:tc>
          <w:tcPr>
            <w:tcW w:w="5804" w:type="dxa"/>
          </w:tcPr>
          <w:p w:rsidR="00AE4DBA" w:rsidRPr="00433575" w:rsidRDefault="001D35A2" w:rsidP="00AE4DBA">
            <w:pPr>
              <w:pStyle w:val="a5"/>
              <w:ind w:left="0"/>
              <w:rPr>
                <w:lang w:val="uk-UA"/>
              </w:rPr>
            </w:pPr>
            <w:r w:rsidRPr="00433575">
              <w:rPr>
                <w:lang w:val="uk-UA"/>
              </w:rPr>
              <w:t>В</w:t>
            </w:r>
            <w:r w:rsidR="00DD76A4" w:rsidRPr="00433575">
              <w:rPr>
                <w:lang w:val="uk-UA"/>
              </w:rPr>
              <w:t>ідсутня</w:t>
            </w:r>
          </w:p>
        </w:tc>
      </w:tr>
      <w:tr w:rsidR="00433575" w:rsidRPr="00433575" w:rsidTr="00CE6C16">
        <w:tc>
          <w:tcPr>
            <w:tcW w:w="3767" w:type="dxa"/>
          </w:tcPr>
          <w:p w:rsidR="00AE4DBA" w:rsidRPr="00433575" w:rsidRDefault="00DD56CE" w:rsidP="00AE4DBA">
            <w:pPr>
              <w:pStyle w:val="a5"/>
              <w:ind w:left="0"/>
              <w:rPr>
                <w:lang w:val="uk-UA"/>
              </w:rPr>
            </w:pPr>
            <w:r w:rsidRPr="00433575">
              <w:rPr>
                <w:lang w:val="uk-UA"/>
              </w:rPr>
              <w:t>Спеціальність</w:t>
            </w:r>
          </w:p>
        </w:tc>
        <w:tc>
          <w:tcPr>
            <w:tcW w:w="5804" w:type="dxa"/>
          </w:tcPr>
          <w:p w:rsidR="00AE4DBA" w:rsidRPr="00433575" w:rsidRDefault="00DD76A4" w:rsidP="00AE4DBA">
            <w:pPr>
              <w:pStyle w:val="a5"/>
              <w:ind w:left="0"/>
              <w:rPr>
                <w:lang w:val="uk-UA"/>
              </w:rPr>
            </w:pPr>
            <w:r w:rsidRPr="00433575">
              <w:rPr>
                <w:lang w:val="uk-UA"/>
              </w:rPr>
              <w:t>0</w:t>
            </w:r>
            <w:r w:rsidR="00457D4E" w:rsidRPr="00433575">
              <w:rPr>
                <w:lang w:val="uk-UA"/>
              </w:rPr>
              <w:t>91</w:t>
            </w:r>
            <w:r w:rsidR="00496092" w:rsidRPr="00433575">
              <w:rPr>
                <w:lang w:val="uk-UA"/>
              </w:rPr>
              <w:t xml:space="preserve"> </w:t>
            </w:r>
            <w:r w:rsidR="00457D4E" w:rsidRPr="00433575">
              <w:rPr>
                <w:lang w:val="uk-UA"/>
              </w:rPr>
              <w:t>Біологія</w:t>
            </w:r>
          </w:p>
        </w:tc>
      </w:tr>
      <w:tr w:rsidR="00433575" w:rsidRPr="00433575" w:rsidTr="00CE6C16">
        <w:tc>
          <w:tcPr>
            <w:tcW w:w="3767" w:type="dxa"/>
          </w:tcPr>
          <w:p w:rsidR="00AE4DBA" w:rsidRPr="00433575" w:rsidRDefault="00DD56CE" w:rsidP="00AE4DBA">
            <w:pPr>
              <w:pStyle w:val="a5"/>
              <w:ind w:left="0"/>
              <w:rPr>
                <w:lang w:val="uk-UA"/>
              </w:rPr>
            </w:pPr>
            <w:r w:rsidRPr="00433575">
              <w:rPr>
                <w:lang w:val="uk-UA"/>
              </w:rPr>
              <w:t>Галузь знань</w:t>
            </w:r>
          </w:p>
        </w:tc>
        <w:tc>
          <w:tcPr>
            <w:tcW w:w="5804" w:type="dxa"/>
          </w:tcPr>
          <w:p w:rsidR="00AE4DBA" w:rsidRPr="00433575" w:rsidRDefault="00DD76A4" w:rsidP="00AE4DBA">
            <w:pPr>
              <w:pStyle w:val="a5"/>
              <w:ind w:left="0"/>
              <w:rPr>
                <w:lang w:val="uk-UA"/>
              </w:rPr>
            </w:pPr>
            <w:r w:rsidRPr="00433575">
              <w:rPr>
                <w:lang w:val="uk-UA"/>
              </w:rPr>
              <w:t>0</w:t>
            </w:r>
            <w:r w:rsidR="00457D4E" w:rsidRPr="00433575">
              <w:rPr>
                <w:lang w:val="uk-UA"/>
              </w:rPr>
              <w:t>9</w:t>
            </w:r>
            <w:r w:rsidR="00847212" w:rsidRPr="00433575">
              <w:rPr>
                <w:lang w:val="uk-UA"/>
              </w:rPr>
              <w:t xml:space="preserve"> </w:t>
            </w:r>
            <w:r w:rsidR="00457D4E" w:rsidRPr="00433575">
              <w:rPr>
                <w:lang w:val="uk-UA"/>
              </w:rPr>
              <w:t>Біологія</w:t>
            </w:r>
          </w:p>
        </w:tc>
      </w:tr>
      <w:tr w:rsidR="00433575" w:rsidRPr="00433575" w:rsidTr="00CE6C16">
        <w:tc>
          <w:tcPr>
            <w:tcW w:w="3767" w:type="dxa"/>
          </w:tcPr>
          <w:p w:rsidR="00DD56CE" w:rsidRPr="00433575" w:rsidRDefault="00DD56CE" w:rsidP="00DE2FDE">
            <w:pPr>
              <w:pStyle w:val="a5"/>
              <w:ind w:left="0"/>
              <w:rPr>
                <w:lang w:val="uk-UA"/>
              </w:rPr>
            </w:pPr>
            <w:r w:rsidRPr="00433575">
              <w:rPr>
                <w:lang w:val="uk-UA"/>
              </w:rPr>
              <w:t xml:space="preserve">Освітній рівень </w:t>
            </w:r>
          </w:p>
        </w:tc>
        <w:tc>
          <w:tcPr>
            <w:tcW w:w="5804" w:type="dxa"/>
          </w:tcPr>
          <w:p w:rsidR="00DD56CE" w:rsidRPr="00433575" w:rsidRDefault="001D35A2" w:rsidP="00DD76A4">
            <w:pPr>
              <w:pStyle w:val="a5"/>
              <w:ind w:left="0"/>
              <w:rPr>
                <w:lang w:val="uk-UA"/>
              </w:rPr>
            </w:pPr>
            <w:r w:rsidRPr="00433575">
              <w:rPr>
                <w:lang w:val="uk-UA"/>
              </w:rPr>
              <w:t>Б</w:t>
            </w:r>
            <w:r w:rsidR="00DD56CE" w:rsidRPr="00433575">
              <w:rPr>
                <w:lang w:val="uk-UA"/>
              </w:rPr>
              <w:t>акалавр</w:t>
            </w:r>
          </w:p>
        </w:tc>
      </w:tr>
      <w:tr w:rsidR="00433575" w:rsidRPr="00433575" w:rsidTr="00CE6C16">
        <w:tc>
          <w:tcPr>
            <w:tcW w:w="3767" w:type="dxa"/>
          </w:tcPr>
          <w:p w:rsidR="00DD56CE" w:rsidRPr="00433575" w:rsidRDefault="00DD56CE" w:rsidP="00DE2FDE">
            <w:pPr>
              <w:pStyle w:val="a5"/>
              <w:ind w:left="0"/>
              <w:rPr>
                <w:lang w:val="uk-UA"/>
              </w:rPr>
            </w:pPr>
            <w:r w:rsidRPr="00433575">
              <w:rPr>
                <w:lang w:val="uk-UA"/>
              </w:rPr>
              <w:t>Статус дисципліни</w:t>
            </w:r>
          </w:p>
        </w:tc>
        <w:tc>
          <w:tcPr>
            <w:tcW w:w="5804" w:type="dxa"/>
          </w:tcPr>
          <w:p w:rsidR="00DD56CE" w:rsidRPr="00433575" w:rsidRDefault="00457D4E" w:rsidP="00DD76A4">
            <w:pPr>
              <w:pStyle w:val="a5"/>
              <w:ind w:left="0"/>
              <w:rPr>
                <w:lang w:val="uk-UA"/>
              </w:rPr>
            </w:pPr>
            <w:r w:rsidRPr="00433575">
              <w:rPr>
                <w:lang w:val="uk-UA"/>
              </w:rPr>
              <w:t>Вибіркова</w:t>
            </w:r>
          </w:p>
        </w:tc>
      </w:tr>
      <w:tr w:rsidR="00433575" w:rsidRPr="00433575" w:rsidTr="00CE6C16">
        <w:tc>
          <w:tcPr>
            <w:tcW w:w="3767" w:type="dxa"/>
          </w:tcPr>
          <w:p w:rsidR="00245156" w:rsidRPr="00433575" w:rsidRDefault="00245156" w:rsidP="00DE2FDE">
            <w:pPr>
              <w:pStyle w:val="a5"/>
              <w:ind w:left="0"/>
              <w:rPr>
                <w:lang w:val="uk-UA"/>
              </w:rPr>
            </w:pPr>
            <w:r w:rsidRPr="00433575">
              <w:rPr>
                <w:lang w:val="uk-UA"/>
              </w:rPr>
              <w:t>Курс / семестр</w:t>
            </w:r>
          </w:p>
        </w:tc>
        <w:tc>
          <w:tcPr>
            <w:tcW w:w="5804" w:type="dxa"/>
          </w:tcPr>
          <w:p w:rsidR="00245156" w:rsidRPr="00433575" w:rsidRDefault="00457D4E" w:rsidP="00DE2FDE">
            <w:pPr>
              <w:pStyle w:val="a5"/>
              <w:ind w:left="0"/>
              <w:rPr>
                <w:lang w:val="en-US"/>
              </w:rPr>
            </w:pPr>
            <w:r w:rsidRPr="00433575">
              <w:rPr>
                <w:lang w:val="en-US"/>
              </w:rPr>
              <w:t>IV</w:t>
            </w:r>
            <w:r w:rsidR="00496092" w:rsidRPr="00433575">
              <w:rPr>
                <w:lang w:val="uk-UA"/>
              </w:rPr>
              <w:t xml:space="preserve"> </w:t>
            </w:r>
            <w:r w:rsidR="00DD76A4" w:rsidRPr="00433575">
              <w:rPr>
                <w:lang w:val="uk-UA"/>
              </w:rPr>
              <w:t xml:space="preserve">/ </w:t>
            </w:r>
            <w:r w:rsidR="00D174AA" w:rsidRPr="00433575">
              <w:rPr>
                <w:lang w:val="en-US"/>
              </w:rPr>
              <w:t>8</w:t>
            </w:r>
          </w:p>
        </w:tc>
      </w:tr>
      <w:tr w:rsidR="00433575" w:rsidRPr="00433575" w:rsidTr="00CE6C16">
        <w:tc>
          <w:tcPr>
            <w:tcW w:w="3767" w:type="dxa"/>
          </w:tcPr>
          <w:p w:rsidR="00245156" w:rsidRPr="00433575" w:rsidRDefault="00245156" w:rsidP="00245156">
            <w:pPr>
              <w:pStyle w:val="a5"/>
              <w:ind w:left="0"/>
              <w:rPr>
                <w:lang w:val="uk-UA"/>
              </w:rPr>
            </w:pPr>
            <w:r w:rsidRPr="00433575">
              <w:rPr>
                <w:lang w:val="uk-UA"/>
              </w:rPr>
              <w:t>Розподіл за видами занять та</w:t>
            </w:r>
          </w:p>
          <w:p w:rsidR="00245156" w:rsidRPr="00433575" w:rsidRDefault="00245156" w:rsidP="00245156">
            <w:pPr>
              <w:pStyle w:val="a5"/>
              <w:ind w:left="0"/>
              <w:rPr>
                <w:lang w:val="uk-UA"/>
              </w:rPr>
            </w:pPr>
            <w:r w:rsidRPr="00433575">
              <w:rPr>
                <w:lang w:val="uk-UA"/>
              </w:rPr>
              <w:t>годинами навчання (якщо передбачені інші види, додати)</w:t>
            </w:r>
          </w:p>
        </w:tc>
        <w:tc>
          <w:tcPr>
            <w:tcW w:w="5804" w:type="dxa"/>
          </w:tcPr>
          <w:p w:rsidR="00245156" w:rsidRPr="00433575" w:rsidRDefault="007B7A43" w:rsidP="00245156">
            <w:pPr>
              <w:pStyle w:val="a5"/>
              <w:ind w:left="34"/>
              <w:rPr>
                <w:lang w:val="uk-UA"/>
              </w:rPr>
            </w:pPr>
            <w:r w:rsidRPr="00433575">
              <w:rPr>
                <w:lang w:val="uk-UA"/>
              </w:rPr>
              <w:t xml:space="preserve">Лекції – </w:t>
            </w:r>
            <w:r w:rsidR="00D174AA" w:rsidRPr="00433575">
              <w:t>2</w:t>
            </w:r>
            <w:r w:rsidR="002603B6" w:rsidRPr="00433575">
              <w:rPr>
                <w:lang w:val="uk-UA"/>
              </w:rPr>
              <w:t>4</w:t>
            </w:r>
            <w:r w:rsidR="00245156" w:rsidRPr="00433575">
              <w:rPr>
                <w:lang w:val="uk-UA"/>
              </w:rPr>
              <w:t xml:space="preserve"> год.</w:t>
            </w:r>
          </w:p>
          <w:p w:rsidR="00245156" w:rsidRPr="00433575" w:rsidRDefault="00D174AA" w:rsidP="00245156">
            <w:pPr>
              <w:pStyle w:val="a5"/>
              <w:ind w:left="34"/>
              <w:rPr>
                <w:lang w:val="uk-UA"/>
              </w:rPr>
            </w:pPr>
            <w:r w:rsidRPr="00433575">
              <w:rPr>
                <w:lang w:val="uk-UA"/>
              </w:rPr>
              <w:t>Практичні</w:t>
            </w:r>
            <w:r w:rsidR="00245156" w:rsidRPr="00433575">
              <w:rPr>
                <w:lang w:val="uk-UA"/>
              </w:rPr>
              <w:t xml:space="preserve"> заняття</w:t>
            </w:r>
            <w:r w:rsidR="007B7A43" w:rsidRPr="00433575">
              <w:rPr>
                <w:lang w:val="uk-UA"/>
              </w:rPr>
              <w:t xml:space="preserve"> – </w:t>
            </w:r>
            <w:r w:rsidRPr="00433575">
              <w:rPr>
                <w:lang w:val="uk-UA"/>
              </w:rPr>
              <w:t>1</w:t>
            </w:r>
            <w:r w:rsidR="002603B6" w:rsidRPr="00433575">
              <w:rPr>
                <w:lang w:val="uk-UA"/>
              </w:rPr>
              <w:t>2</w:t>
            </w:r>
            <w:r w:rsidR="00245156" w:rsidRPr="00433575">
              <w:rPr>
                <w:lang w:val="uk-UA"/>
              </w:rPr>
              <w:t xml:space="preserve"> год.</w:t>
            </w:r>
          </w:p>
          <w:p w:rsidR="00245156" w:rsidRPr="00433575" w:rsidRDefault="00F22016" w:rsidP="00245156">
            <w:pPr>
              <w:pStyle w:val="a5"/>
              <w:ind w:left="34"/>
              <w:rPr>
                <w:lang w:val="uk-UA"/>
              </w:rPr>
            </w:pPr>
            <w:r w:rsidRPr="00433575">
              <w:rPr>
                <w:lang w:val="uk-UA"/>
              </w:rPr>
              <w:t xml:space="preserve">Самостійна </w:t>
            </w:r>
            <w:r w:rsidR="007B7A43" w:rsidRPr="00433575">
              <w:rPr>
                <w:lang w:val="uk-UA"/>
              </w:rPr>
              <w:t xml:space="preserve">робота – </w:t>
            </w:r>
            <w:r w:rsidR="002603B6" w:rsidRPr="00433575">
              <w:rPr>
                <w:lang w:val="uk-UA"/>
              </w:rPr>
              <w:t>54</w:t>
            </w:r>
            <w:r w:rsidR="00245156" w:rsidRPr="00433575">
              <w:rPr>
                <w:lang w:val="uk-UA"/>
              </w:rPr>
              <w:t xml:space="preserve"> год.</w:t>
            </w:r>
          </w:p>
          <w:p w:rsidR="007E5568" w:rsidRPr="00433575" w:rsidRDefault="007E5568" w:rsidP="009731DE">
            <w:pPr>
              <w:pStyle w:val="a5"/>
              <w:ind w:left="34"/>
              <w:rPr>
                <w:lang w:val="uk-UA"/>
              </w:rPr>
            </w:pPr>
            <w:r w:rsidRPr="00433575">
              <w:rPr>
                <w:lang w:val="uk-UA"/>
              </w:rPr>
              <w:t xml:space="preserve">Загальна кількість кредитів </w:t>
            </w:r>
            <w:r w:rsidR="009731DE" w:rsidRPr="00433575">
              <w:rPr>
                <w:lang w:val="en-US"/>
              </w:rPr>
              <w:t>–</w:t>
            </w:r>
            <w:r w:rsidRPr="00433575">
              <w:rPr>
                <w:lang w:val="uk-UA"/>
              </w:rPr>
              <w:t xml:space="preserve"> 3</w:t>
            </w:r>
          </w:p>
        </w:tc>
      </w:tr>
      <w:tr w:rsidR="00433575" w:rsidRPr="00433575" w:rsidTr="00CE6C16">
        <w:tc>
          <w:tcPr>
            <w:tcW w:w="3767" w:type="dxa"/>
          </w:tcPr>
          <w:p w:rsidR="00DD56CE" w:rsidRPr="00433575" w:rsidRDefault="00DD56CE" w:rsidP="00DE2FDE">
            <w:pPr>
              <w:pStyle w:val="a5"/>
              <w:ind w:left="0"/>
              <w:rPr>
                <w:lang w:val="uk-UA"/>
              </w:rPr>
            </w:pPr>
            <w:r w:rsidRPr="00433575">
              <w:rPr>
                <w:lang w:val="uk-UA"/>
              </w:rPr>
              <w:t>Мова викладання</w:t>
            </w:r>
          </w:p>
        </w:tc>
        <w:tc>
          <w:tcPr>
            <w:tcW w:w="5804" w:type="dxa"/>
          </w:tcPr>
          <w:p w:rsidR="00DD56CE" w:rsidRPr="00433575" w:rsidRDefault="007B7A43" w:rsidP="00AE4DBA">
            <w:pPr>
              <w:pStyle w:val="a5"/>
              <w:ind w:left="0"/>
              <w:rPr>
                <w:lang w:val="uk-UA"/>
              </w:rPr>
            </w:pPr>
            <w:r w:rsidRPr="00433575">
              <w:rPr>
                <w:lang w:val="uk-UA"/>
              </w:rPr>
              <w:t>У</w:t>
            </w:r>
            <w:r w:rsidR="00DD76A4" w:rsidRPr="00433575">
              <w:rPr>
                <w:lang w:val="uk-UA"/>
              </w:rPr>
              <w:t>країнська</w:t>
            </w:r>
          </w:p>
        </w:tc>
      </w:tr>
      <w:tr w:rsidR="00A03283" w:rsidRPr="00123044" w:rsidTr="00CE6C16">
        <w:tc>
          <w:tcPr>
            <w:tcW w:w="9571" w:type="dxa"/>
            <w:gridSpan w:val="2"/>
          </w:tcPr>
          <w:p w:rsidR="00A03283" w:rsidRPr="00123044" w:rsidRDefault="00A03283" w:rsidP="00DE2FDE">
            <w:pPr>
              <w:pStyle w:val="a5"/>
              <w:ind w:left="0"/>
              <w:rPr>
                <w:lang w:val="uk-UA"/>
              </w:rPr>
            </w:pPr>
            <w:r w:rsidRPr="00123044">
              <w:rPr>
                <w:lang w:val="uk-UA"/>
              </w:rPr>
              <w:t>Посилання на сайт дистанційного навчання:</w:t>
            </w:r>
          </w:p>
          <w:p w:rsidR="00A03283" w:rsidRPr="00123044" w:rsidRDefault="00A03283" w:rsidP="00AE4DBA">
            <w:pPr>
              <w:pStyle w:val="a5"/>
              <w:ind w:left="0"/>
              <w:rPr>
                <w:lang w:val="uk-UA"/>
              </w:rPr>
            </w:pPr>
          </w:p>
        </w:tc>
      </w:tr>
    </w:tbl>
    <w:p w:rsidR="00A03283" w:rsidRPr="00123044" w:rsidRDefault="00A03283" w:rsidP="00DE2FDE">
      <w:pPr>
        <w:pStyle w:val="a5"/>
        <w:ind w:left="0"/>
        <w:jc w:val="center"/>
        <w:rPr>
          <w:b/>
          <w:lang w:val="uk-UA"/>
        </w:rPr>
      </w:pPr>
    </w:p>
    <w:p w:rsidR="00DE2FDE" w:rsidRPr="00123044" w:rsidRDefault="00DE2FDE" w:rsidP="00DE2FDE">
      <w:pPr>
        <w:pStyle w:val="a5"/>
        <w:ind w:left="0"/>
        <w:jc w:val="center"/>
        <w:rPr>
          <w:b/>
          <w:lang w:val="uk-UA"/>
        </w:rPr>
      </w:pPr>
      <w:r w:rsidRPr="00123044">
        <w:rPr>
          <w:b/>
          <w:lang w:val="uk-UA"/>
        </w:rPr>
        <w:t>2. Опис дисципліни</w:t>
      </w:r>
    </w:p>
    <w:tbl>
      <w:tblPr>
        <w:tblStyle w:val="a6"/>
        <w:tblW w:w="0" w:type="auto"/>
        <w:tblLook w:val="04A0" w:firstRow="1" w:lastRow="0" w:firstColumn="1" w:lastColumn="0" w:noHBand="0" w:noVBand="1"/>
      </w:tblPr>
      <w:tblGrid>
        <w:gridCol w:w="9571"/>
      </w:tblGrid>
      <w:tr w:rsidR="00433575" w:rsidRPr="00433575" w:rsidTr="00DE2FDE">
        <w:tc>
          <w:tcPr>
            <w:tcW w:w="9571" w:type="dxa"/>
          </w:tcPr>
          <w:p w:rsidR="00C32E2F" w:rsidRPr="00433575" w:rsidRDefault="00C32E2F" w:rsidP="00A03283">
            <w:pPr>
              <w:jc w:val="both"/>
              <w:rPr>
                <w:b/>
                <w:lang w:val="uk-UA"/>
              </w:rPr>
            </w:pPr>
            <w:r w:rsidRPr="00433575">
              <w:rPr>
                <w:b/>
                <w:lang w:val="uk-UA"/>
              </w:rPr>
              <w:t>Анотація</w:t>
            </w:r>
            <w:r w:rsidR="00B701BF" w:rsidRPr="00433575">
              <w:rPr>
                <w:b/>
                <w:lang w:val="uk-UA"/>
              </w:rPr>
              <w:t xml:space="preserve"> курсу</w:t>
            </w:r>
          </w:p>
          <w:p w:rsidR="00C32E2F" w:rsidRPr="00433575" w:rsidRDefault="009920E4" w:rsidP="009920E4">
            <w:pPr>
              <w:ind w:firstLine="426"/>
              <w:jc w:val="both"/>
              <w:rPr>
                <w:lang w:val="uk-UA"/>
              </w:rPr>
            </w:pPr>
            <w:r w:rsidRPr="00433575">
              <w:rPr>
                <w:lang w:val="uk-UA"/>
              </w:rPr>
              <w:t>Живі організми є складними збалансованими системами, здатними відтворювати самих себе, ре</w:t>
            </w:r>
            <w:r w:rsidR="006A30C5" w:rsidRPr="00433575">
              <w:rPr>
                <w:lang w:val="uk-UA"/>
              </w:rPr>
              <w:t>генерувати, пристосовуватись до змін довкілля та еволюціонувати, збільшуючи свої шанси на виживання за наявності конкурентних видів та несприятливих екологічних факторів.</w:t>
            </w:r>
            <w:r w:rsidRPr="00433575">
              <w:rPr>
                <w:lang w:val="uk-UA"/>
              </w:rPr>
              <w:t xml:space="preserve"> </w:t>
            </w:r>
            <w:r w:rsidR="006A30C5" w:rsidRPr="00433575">
              <w:rPr>
                <w:lang w:val="uk-UA"/>
              </w:rPr>
              <w:t>Кожен живий організм має складні системи репарації та регенерації, які дозволяють йому відновлювати пошкоджені компоненти – білки, нуклеїнові кислоти, органели, клітини і тканини (якщо мова йде про багатоклітинний організм). Тим</w:t>
            </w:r>
            <w:r w:rsidR="00997B3B" w:rsidRPr="00433575">
              <w:rPr>
                <w:lang w:val="uk-UA"/>
              </w:rPr>
              <w:t xml:space="preserve"> не менш</w:t>
            </w:r>
            <w:r w:rsidR="00B67674" w:rsidRPr="00433575">
              <w:rPr>
                <w:lang w:val="uk-UA"/>
              </w:rPr>
              <w:t>,</w:t>
            </w:r>
            <w:r w:rsidR="00997B3B" w:rsidRPr="00433575">
              <w:rPr>
                <w:lang w:val="uk-UA"/>
              </w:rPr>
              <w:t xml:space="preserve"> </w:t>
            </w:r>
            <w:r w:rsidR="00B67674" w:rsidRPr="00433575">
              <w:rPr>
                <w:lang w:val="uk-UA"/>
              </w:rPr>
              <w:t xml:space="preserve">ефективність </w:t>
            </w:r>
            <w:proofErr w:type="spellStart"/>
            <w:r w:rsidR="00B67674" w:rsidRPr="00433575">
              <w:rPr>
                <w:lang w:val="uk-UA"/>
              </w:rPr>
              <w:t>біосинтетичних</w:t>
            </w:r>
            <w:proofErr w:type="spellEnd"/>
            <w:r w:rsidR="00B67674" w:rsidRPr="00433575">
              <w:rPr>
                <w:lang w:val="uk-UA"/>
              </w:rPr>
              <w:t xml:space="preserve"> та </w:t>
            </w:r>
            <w:proofErr w:type="spellStart"/>
            <w:r w:rsidR="00B67674" w:rsidRPr="00433575">
              <w:rPr>
                <w:lang w:val="uk-UA"/>
              </w:rPr>
              <w:t>катаболічних</w:t>
            </w:r>
            <w:proofErr w:type="spellEnd"/>
            <w:r w:rsidR="00B67674" w:rsidRPr="00433575">
              <w:rPr>
                <w:lang w:val="uk-UA"/>
              </w:rPr>
              <w:t xml:space="preserve"> процесів у</w:t>
            </w:r>
            <w:r w:rsidR="00997B3B" w:rsidRPr="00433575">
              <w:rPr>
                <w:lang w:val="uk-UA"/>
              </w:rPr>
              <w:t xml:space="preserve"> більшості організмів з віком</w:t>
            </w:r>
            <w:r w:rsidR="00B67674" w:rsidRPr="00433575">
              <w:rPr>
                <w:lang w:val="uk-UA"/>
              </w:rPr>
              <w:t xml:space="preserve"> знижується, що, зрештою, призводить до смерті. Причина цього зниження досі остаточно не зрозуміла. Втім, існують організми, здатні жити дуже довго (рослини, деякі рептилії та окремі види ссавців) або ж взагалі безсмертні (гідра). Досліджуючи стиль життя цих організмів та біохімічні процеси в їхніх клітинах, вчені намагаються знайти ключовий елемент, який запускає процес старіння. Зараз вченим вже відомо, що старіння тісно п</w:t>
            </w:r>
            <w:r w:rsidR="00E62C02" w:rsidRPr="00433575">
              <w:rPr>
                <w:lang w:val="uk-UA"/>
              </w:rPr>
              <w:t xml:space="preserve">ов’язане із сигнальними шляхами, які регулюють ріст клітини і організму – інсуліновим і </w:t>
            </w:r>
            <w:proofErr w:type="spellStart"/>
            <w:r w:rsidR="00E62C02" w:rsidRPr="00433575">
              <w:rPr>
                <w:lang w:val="en-US"/>
              </w:rPr>
              <w:t>mTOR</w:t>
            </w:r>
            <w:proofErr w:type="spellEnd"/>
            <w:r w:rsidR="00E62C02" w:rsidRPr="00433575">
              <w:rPr>
                <w:lang w:val="en-US"/>
              </w:rPr>
              <w:t xml:space="preserve"> (</w:t>
            </w:r>
            <w:r w:rsidR="00E62C02" w:rsidRPr="00433575">
              <w:rPr>
                <w:b/>
                <w:u w:val="single"/>
                <w:lang w:val="en-US"/>
              </w:rPr>
              <w:t>m</w:t>
            </w:r>
            <w:r w:rsidR="00E62C02" w:rsidRPr="00433575">
              <w:rPr>
                <w:lang w:val="en-US"/>
              </w:rPr>
              <w:t xml:space="preserve">echanistic </w:t>
            </w:r>
            <w:r w:rsidR="00E62C02" w:rsidRPr="00433575">
              <w:rPr>
                <w:b/>
                <w:u w:val="single"/>
                <w:lang w:val="en-US"/>
              </w:rPr>
              <w:t>t</w:t>
            </w:r>
            <w:r w:rsidR="00E62C02" w:rsidRPr="00433575">
              <w:rPr>
                <w:lang w:val="en-US"/>
              </w:rPr>
              <w:t xml:space="preserve">arget </w:t>
            </w:r>
            <w:r w:rsidR="00E62C02" w:rsidRPr="00433575">
              <w:rPr>
                <w:b/>
                <w:u w:val="single"/>
                <w:lang w:val="en-US"/>
              </w:rPr>
              <w:t>o</w:t>
            </w:r>
            <w:r w:rsidR="00E62C02" w:rsidRPr="00433575">
              <w:rPr>
                <w:lang w:val="en-US"/>
              </w:rPr>
              <w:t xml:space="preserve">f </w:t>
            </w:r>
            <w:r w:rsidR="00E62C02" w:rsidRPr="00433575">
              <w:rPr>
                <w:b/>
                <w:u w:val="single"/>
                <w:lang w:val="en-US"/>
              </w:rPr>
              <w:t>r</w:t>
            </w:r>
            <w:r w:rsidR="00E62C02" w:rsidRPr="00433575">
              <w:rPr>
                <w:lang w:val="en-US"/>
              </w:rPr>
              <w:t>apamycin)</w:t>
            </w:r>
            <w:r w:rsidR="00E62C02" w:rsidRPr="00433575">
              <w:rPr>
                <w:lang w:val="uk-UA"/>
              </w:rPr>
              <w:t xml:space="preserve"> шляхами. Не менш важливими є процеси, пов’язані з репарацією ДНК, відповіддю на нагромадження білків з </w:t>
            </w:r>
            <w:proofErr w:type="spellStart"/>
            <w:r w:rsidR="00E62C02" w:rsidRPr="00433575">
              <w:rPr>
                <w:lang w:val="uk-UA"/>
              </w:rPr>
              <w:t>нефункціональною</w:t>
            </w:r>
            <w:proofErr w:type="spellEnd"/>
            <w:r w:rsidR="00E62C02" w:rsidRPr="00433575">
              <w:rPr>
                <w:lang w:val="uk-UA"/>
              </w:rPr>
              <w:t xml:space="preserve"> конформацією, </w:t>
            </w:r>
            <w:proofErr w:type="spellStart"/>
            <w:r w:rsidR="00E62C02" w:rsidRPr="00433575">
              <w:rPr>
                <w:lang w:val="uk-UA"/>
              </w:rPr>
              <w:t>автофагією</w:t>
            </w:r>
            <w:proofErr w:type="spellEnd"/>
            <w:r w:rsidR="00E62C02" w:rsidRPr="00433575">
              <w:rPr>
                <w:lang w:val="uk-UA"/>
              </w:rPr>
              <w:t xml:space="preserve">, детоксикацією ксенобіотиків, </w:t>
            </w:r>
            <w:r w:rsidR="00B42898" w:rsidRPr="00433575">
              <w:rPr>
                <w:lang w:val="uk-UA"/>
              </w:rPr>
              <w:t>тощо. Всі ці процеси контролюються ба</w:t>
            </w:r>
            <w:r w:rsidR="00AF57C2" w:rsidRPr="00433575">
              <w:rPr>
                <w:lang w:val="uk-UA"/>
              </w:rPr>
              <w:t>гатьма сигнальними шляхами, які, в свою чергу, можна активувати чи пригнічувати різноманітними, природніми або синтетичними, хімічними сполуками.</w:t>
            </w:r>
          </w:p>
          <w:p w:rsidR="00C32E2F" w:rsidRPr="00433575" w:rsidRDefault="00AF57C2" w:rsidP="000E589B">
            <w:pPr>
              <w:ind w:firstLine="426"/>
              <w:jc w:val="both"/>
              <w:rPr>
                <w:lang w:val="uk-UA"/>
              </w:rPr>
            </w:pPr>
            <w:r w:rsidRPr="00433575">
              <w:rPr>
                <w:lang w:val="uk-UA"/>
              </w:rPr>
              <w:t xml:space="preserve">Цей курс буде цікавий і корисний для тих, хто цікавиться процесом старіння, сигнальними шляхами клітини, механізмом дії </w:t>
            </w:r>
            <w:proofErr w:type="spellStart"/>
            <w:r w:rsidRPr="00433575">
              <w:rPr>
                <w:lang w:val="uk-UA"/>
              </w:rPr>
              <w:t>геропротекторних</w:t>
            </w:r>
            <w:proofErr w:type="spellEnd"/>
            <w:r w:rsidRPr="00433575">
              <w:rPr>
                <w:lang w:val="uk-UA"/>
              </w:rPr>
              <w:t xml:space="preserve"> (тобто тих, що сповільнюють старіння)</w:t>
            </w:r>
            <w:r w:rsidR="00605CB9" w:rsidRPr="00433575">
              <w:rPr>
                <w:lang w:val="uk-UA"/>
              </w:rPr>
              <w:t xml:space="preserve"> препаратів і фундаментальними питаннями біології (включаючи сенс життя, старіння і смерть). В світі працює величезна кількість наукових колективів, які вивчають молекулярні механізми старіння. Існує вже декілька компаній </w:t>
            </w:r>
            <w:r w:rsidR="00605CB9" w:rsidRPr="00433575">
              <w:rPr>
                <w:lang w:val="en-US"/>
              </w:rPr>
              <w:t>– Calico LCC, Verily, Human Longevity</w:t>
            </w:r>
            <w:r w:rsidR="00605CB9" w:rsidRPr="00433575">
              <w:rPr>
                <w:lang w:val="uk-UA"/>
              </w:rPr>
              <w:t>,</w:t>
            </w:r>
            <w:r w:rsidR="00605CB9" w:rsidRPr="00433575">
              <w:rPr>
                <w:lang w:val="en-US"/>
              </w:rPr>
              <w:t xml:space="preserve"> – </w:t>
            </w:r>
            <w:r w:rsidR="00605CB9" w:rsidRPr="00433575">
              <w:rPr>
                <w:lang w:val="uk-UA"/>
              </w:rPr>
              <w:t xml:space="preserve">які спеціалізується </w:t>
            </w:r>
            <w:r w:rsidR="00605CB9" w:rsidRPr="00433575">
              <w:rPr>
                <w:lang w:val="uk-UA"/>
              </w:rPr>
              <w:lastRenderedPageBreak/>
              <w:t xml:space="preserve">на дослідженнях і, паралельно, розробці засобів клітинної терапії. Курс </w:t>
            </w:r>
            <w:r w:rsidR="000E589B" w:rsidRPr="00433575">
              <w:rPr>
                <w:lang w:val="uk-UA"/>
              </w:rPr>
              <w:t>потрібний тим, хто пов’язує свою майбутню кар’єру з вищезгаданими науковими колективами або біотехнологічними компаніями.</w:t>
            </w:r>
          </w:p>
        </w:tc>
      </w:tr>
      <w:tr w:rsidR="00433575" w:rsidRPr="00433575" w:rsidTr="00DE2FDE">
        <w:tc>
          <w:tcPr>
            <w:tcW w:w="9571" w:type="dxa"/>
          </w:tcPr>
          <w:p w:rsidR="00DE2FDE" w:rsidRPr="00433575" w:rsidRDefault="00DE2FDE" w:rsidP="00F22016">
            <w:pPr>
              <w:pStyle w:val="a5"/>
              <w:ind w:left="0"/>
              <w:jc w:val="both"/>
              <w:rPr>
                <w:i/>
                <w:lang w:val="uk-UA"/>
              </w:rPr>
            </w:pPr>
            <w:r w:rsidRPr="00433575">
              <w:rPr>
                <w:i/>
                <w:lang w:val="uk-UA"/>
              </w:rPr>
              <w:lastRenderedPageBreak/>
              <w:t>Компетентності</w:t>
            </w:r>
            <w:r w:rsidR="00DE4B7A" w:rsidRPr="00433575">
              <w:rPr>
                <w:i/>
                <w:lang w:val="uk-UA"/>
              </w:rPr>
              <w:t xml:space="preserve"> (відповідно до матриці ОП):</w:t>
            </w:r>
          </w:p>
          <w:p w:rsidR="00FD625B" w:rsidRPr="00433575" w:rsidRDefault="00FD625B" w:rsidP="00FD625B">
            <w:pPr>
              <w:rPr>
                <w:bCs/>
                <w:lang w:val="uk-UA"/>
              </w:rPr>
            </w:pPr>
            <w:r w:rsidRPr="00433575">
              <w:rPr>
                <w:b/>
                <w:bCs/>
                <w:i/>
                <w:lang w:val="uk-UA"/>
              </w:rPr>
              <w:t>Соціально-особистісні (С1)</w:t>
            </w:r>
            <w:r w:rsidRPr="00433575">
              <w:rPr>
                <w:bCs/>
                <w:lang w:val="uk-UA"/>
              </w:rPr>
              <w:t xml:space="preserve"> – підтримка необхідного для професійної діяльності інтелектуального рівня, володіння креативним мисленням, володіння системним мисленням, вміння передбачати кінцевий результат та наполегливо досягати мети. Знання критеріїв оцінки якості результатів діяльності, володіння властивостями комунікабельності й адаптивності, володіння толерантним відношенням до думок, поглядів інших осіб на різні аспекти та характеристики діяльності. Розуміння необхідності бути критични</w:t>
            </w:r>
            <w:bookmarkStart w:id="0" w:name="_GoBack"/>
            <w:bookmarkEnd w:id="0"/>
            <w:r w:rsidRPr="00433575">
              <w:rPr>
                <w:bCs/>
                <w:lang w:val="uk-UA"/>
              </w:rPr>
              <w:t>м та самокритичним, розуміння необхідності та дотримання норм здорового способу життя.</w:t>
            </w:r>
          </w:p>
          <w:p w:rsidR="00FD625B" w:rsidRPr="00433575" w:rsidRDefault="00FD625B" w:rsidP="00FD625B">
            <w:pPr>
              <w:rPr>
                <w:bCs/>
                <w:iCs/>
                <w:lang w:val="uk-UA"/>
              </w:rPr>
            </w:pPr>
            <w:proofErr w:type="spellStart"/>
            <w:r w:rsidRPr="00433575">
              <w:rPr>
                <w:b/>
                <w:i/>
                <w:lang w:val="uk-UA"/>
              </w:rPr>
              <w:t>Загальнопрофесійні</w:t>
            </w:r>
            <w:proofErr w:type="spellEnd"/>
            <w:r w:rsidRPr="00433575">
              <w:rPr>
                <w:b/>
                <w:i/>
                <w:lang w:val="uk-UA"/>
              </w:rPr>
              <w:t xml:space="preserve"> (С4)</w:t>
            </w:r>
            <w:r w:rsidRPr="00433575">
              <w:rPr>
                <w:lang w:val="uk-UA"/>
              </w:rPr>
              <w:t xml:space="preserve"> –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433575">
              <w:rPr>
                <w:bCs/>
                <w:iCs/>
                <w:lang w:val="uk-UA"/>
              </w:rPr>
              <w:t xml:space="preserve">Здатність виконувати роботу з дотриманням правил біологічної етики, </w:t>
            </w:r>
            <w:proofErr w:type="spellStart"/>
            <w:r w:rsidRPr="00433575">
              <w:rPr>
                <w:bCs/>
                <w:iCs/>
                <w:lang w:val="uk-UA"/>
              </w:rPr>
              <w:t>біобезпеки</w:t>
            </w:r>
            <w:proofErr w:type="spellEnd"/>
            <w:r w:rsidRPr="00433575">
              <w:rPr>
                <w:bCs/>
                <w:iCs/>
                <w:lang w:val="uk-UA"/>
              </w:rPr>
              <w:t xml:space="preserve">, </w:t>
            </w:r>
            <w:proofErr w:type="spellStart"/>
            <w:r w:rsidRPr="00433575">
              <w:rPr>
                <w:bCs/>
                <w:iCs/>
                <w:lang w:val="uk-UA"/>
              </w:rPr>
              <w:t>біозахисту</w:t>
            </w:r>
            <w:proofErr w:type="spellEnd"/>
            <w:r w:rsidRPr="00433575">
              <w:rPr>
                <w:bCs/>
                <w:iCs/>
                <w:lang w:val="uk-UA"/>
              </w:rPr>
              <w:t>.</w:t>
            </w:r>
          </w:p>
          <w:p w:rsidR="00FD625B" w:rsidRPr="00433575" w:rsidRDefault="00FD625B" w:rsidP="00FD625B">
            <w:pPr>
              <w:rPr>
                <w:lang w:val="uk-UA"/>
              </w:rPr>
            </w:pPr>
            <w:r w:rsidRPr="00433575">
              <w:rPr>
                <w:b/>
                <w:i/>
                <w:lang w:val="uk-UA"/>
              </w:rPr>
              <w:t>Гнучкість мислення (С6)</w:t>
            </w:r>
            <w:r w:rsidRPr="00433575">
              <w:rPr>
                <w:lang w:val="uk-UA"/>
              </w:rPr>
              <w:t xml:space="preserve"> – набуття гнучкого мислення, відкритість до застосування біологічних знань та </w:t>
            </w:r>
            <w:proofErr w:type="spellStart"/>
            <w:r w:rsidRPr="00433575">
              <w:rPr>
                <w:lang w:val="uk-UA"/>
              </w:rPr>
              <w:t>компетентностей</w:t>
            </w:r>
            <w:proofErr w:type="spellEnd"/>
            <w:r w:rsidRPr="00433575">
              <w:rPr>
                <w:lang w:val="uk-UA"/>
              </w:rPr>
              <w:t xml:space="preserve"> в широкому діапазоні можливих місць роботи та повсякденному житті.</w:t>
            </w:r>
          </w:p>
          <w:p w:rsidR="00FD625B" w:rsidRPr="00433575" w:rsidRDefault="00FD625B" w:rsidP="00FD625B">
            <w:pPr>
              <w:rPr>
                <w:lang w:val="uk-UA"/>
              </w:rPr>
            </w:pPr>
            <w:r w:rsidRPr="00433575">
              <w:rPr>
                <w:b/>
                <w:i/>
                <w:lang w:val="uk-UA"/>
              </w:rPr>
              <w:t>Ерудиція в області сучасної експериментальної біології</w:t>
            </w:r>
            <w:r w:rsidRPr="00433575">
              <w:rPr>
                <w:i/>
                <w:lang w:val="uk-UA"/>
              </w:rPr>
              <w:t xml:space="preserve"> </w:t>
            </w:r>
            <w:r w:rsidRPr="00433575">
              <w:rPr>
                <w:b/>
                <w:i/>
                <w:lang w:val="uk-UA"/>
              </w:rPr>
              <w:t>(С8)</w:t>
            </w:r>
            <w:r w:rsidRPr="00433575">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433575" w:rsidRDefault="00FD625B" w:rsidP="00FD625B">
            <w:pPr>
              <w:pStyle w:val="a5"/>
              <w:ind w:left="0"/>
              <w:jc w:val="both"/>
              <w:rPr>
                <w:lang w:val="uk-UA"/>
              </w:rPr>
            </w:pPr>
            <w:r w:rsidRPr="00433575">
              <w:rPr>
                <w:b/>
                <w:i/>
                <w:lang w:val="uk-UA"/>
              </w:rPr>
              <w:t>Здатність до навчання</w:t>
            </w:r>
            <w:r w:rsidRPr="00433575">
              <w:rPr>
                <w:i/>
                <w:lang w:val="uk-UA"/>
              </w:rPr>
              <w:t xml:space="preserve"> </w:t>
            </w:r>
            <w:r w:rsidRPr="00433575">
              <w:rPr>
                <w:b/>
                <w:i/>
                <w:lang w:val="uk-UA"/>
              </w:rPr>
              <w:t>(С10)</w:t>
            </w:r>
            <w:r w:rsidRPr="00433575">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433575" w:rsidTr="00DE2FDE">
        <w:tc>
          <w:tcPr>
            <w:tcW w:w="9571" w:type="dxa"/>
          </w:tcPr>
          <w:p w:rsidR="00DE2FDE" w:rsidRPr="00433575" w:rsidRDefault="00DE2FDE" w:rsidP="00DE4B7A">
            <w:pPr>
              <w:pStyle w:val="a5"/>
              <w:ind w:left="0"/>
              <w:rPr>
                <w:i/>
                <w:lang w:val="uk-UA"/>
              </w:rPr>
            </w:pPr>
            <w:r w:rsidRPr="00433575">
              <w:rPr>
                <w:i/>
                <w:lang w:val="uk-UA"/>
              </w:rPr>
              <w:t>Програмні результати навчання</w:t>
            </w:r>
            <w:r w:rsidR="00DE4B7A" w:rsidRPr="00433575">
              <w:rPr>
                <w:i/>
                <w:lang w:val="uk-UA"/>
              </w:rPr>
              <w:t xml:space="preserve"> (відповідно до матриці</w:t>
            </w:r>
            <w:r w:rsidR="005F34AB" w:rsidRPr="00433575">
              <w:rPr>
                <w:i/>
                <w:lang w:val="uk-UA"/>
              </w:rPr>
              <w:t xml:space="preserve"> ОП</w:t>
            </w:r>
            <w:r w:rsidRPr="00433575">
              <w:rPr>
                <w:i/>
                <w:lang w:val="uk-UA"/>
              </w:rPr>
              <w:t>)</w:t>
            </w:r>
            <w:r w:rsidR="00DE4B7A" w:rsidRPr="00433575">
              <w:rPr>
                <w:i/>
                <w:lang w:val="uk-UA"/>
              </w:rPr>
              <w:t>:</w:t>
            </w:r>
          </w:p>
          <w:p w:rsidR="00FD625B" w:rsidRPr="00433575" w:rsidRDefault="00FD625B" w:rsidP="00FD625B">
            <w:pPr>
              <w:pStyle w:val="a5"/>
              <w:ind w:left="0" w:firstLine="426"/>
              <w:rPr>
                <w:lang w:val="uk-UA"/>
              </w:rPr>
            </w:pPr>
            <w:r w:rsidRPr="00433575">
              <w:rPr>
                <w:lang w:val="uk-UA"/>
              </w:rPr>
              <w:t>Знати і аналізувати принципи структурно-функціональної організації, механізмів регуляції та адаптації організмів (С4, С10).</w:t>
            </w:r>
          </w:p>
          <w:p w:rsidR="00FD625B" w:rsidRPr="00433575" w:rsidRDefault="00FD625B" w:rsidP="00FD625B">
            <w:pPr>
              <w:pStyle w:val="a5"/>
              <w:ind w:left="0" w:firstLine="426"/>
              <w:rPr>
                <w:lang w:val="uk-UA"/>
              </w:rPr>
            </w:pPr>
            <w:r w:rsidRPr="00433575">
              <w:rPr>
                <w:lang w:val="uk-UA"/>
              </w:rPr>
              <w:t>Демонструвати знання про основні закономірності формування, кількісної оцінки та основні стратегії збереження біологічного різноманіття, збільшення продуктивності й стійкості агроценозів та природних екосистем (С1, С6, С8).</w:t>
            </w:r>
          </w:p>
          <w:p w:rsidR="0069038F" w:rsidRPr="00433575" w:rsidRDefault="00FD625B" w:rsidP="00FD625B">
            <w:pPr>
              <w:pStyle w:val="a5"/>
              <w:ind w:left="0" w:firstLine="426"/>
              <w:rPr>
                <w:lang w:val="uk-UA"/>
              </w:rPr>
            </w:pPr>
            <w:r w:rsidRPr="00433575">
              <w:rPr>
                <w:lang w:val="uk-UA"/>
              </w:rPr>
              <w:t xml:space="preserve">Володіти базовими знаннями та розуміннями спеціальних розділів на вибір студента: біоенергетика, ензимологія, молекулярна мікробіологія та вірусологія, молекулярна фізіологія, молекулярна </w:t>
            </w:r>
            <w:proofErr w:type="spellStart"/>
            <w:r w:rsidRPr="00433575">
              <w:rPr>
                <w:lang w:val="uk-UA"/>
              </w:rPr>
              <w:t>нейробіологія</w:t>
            </w:r>
            <w:proofErr w:type="spellEnd"/>
            <w:r w:rsidRPr="00433575">
              <w:rPr>
                <w:lang w:val="uk-UA"/>
              </w:rPr>
              <w:t xml:space="preserve">,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433575">
              <w:rPr>
                <w:lang w:val="uk-UA"/>
              </w:rPr>
              <w:t>біомембранологія</w:t>
            </w:r>
            <w:proofErr w:type="spellEnd"/>
            <w:r w:rsidRPr="00433575">
              <w:rPr>
                <w:lang w:val="uk-UA"/>
              </w:rPr>
              <w:t>, основи клінічної біохімії з метою майбутньої спеціалізації та освоєння міждисциплінарних підходів (С4, С8, С10).</w:t>
            </w:r>
          </w:p>
        </w:tc>
      </w:tr>
    </w:tbl>
    <w:p w:rsidR="00AE4DBA" w:rsidRPr="00433575" w:rsidRDefault="00AE4DBA" w:rsidP="00DE2FDE">
      <w:pPr>
        <w:pStyle w:val="a5"/>
        <w:ind w:left="0"/>
        <w:rPr>
          <w:lang w:val="uk-UA"/>
        </w:rPr>
      </w:pPr>
    </w:p>
    <w:p w:rsidR="00E2245F" w:rsidRPr="00433575" w:rsidRDefault="00E2245F" w:rsidP="006520A3">
      <w:pPr>
        <w:jc w:val="right"/>
        <w:rPr>
          <w:b/>
          <w:lang w:val="uk-UA"/>
        </w:rPr>
      </w:pPr>
    </w:p>
    <w:p w:rsidR="00C23F1B" w:rsidRPr="00433575" w:rsidRDefault="00C23F1B" w:rsidP="00C23F1B">
      <w:pPr>
        <w:jc w:val="right"/>
        <w:rPr>
          <w:b/>
          <w:lang w:val="uk-UA"/>
        </w:rPr>
      </w:pPr>
      <w:r w:rsidRPr="00433575">
        <w:rPr>
          <w:b/>
          <w:lang w:val="uk-UA"/>
        </w:rPr>
        <w:t>Викладач</w:t>
      </w:r>
      <w:r w:rsidRPr="00433575">
        <w:rPr>
          <w:b/>
          <w:lang w:val="uk-UA"/>
        </w:rPr>
        <w:tab/>
      </w:r>
      <w:r w:rsidRPr="00433575">
        <w:rPr>
          <w:b/>
          <w:lang w:val="uk-UA"/>
        </w:rPr>
        <w:tab/>
      </w:r>
      <w:r w:rsidRPr="00433575">
        <w:rPr>
          <w:b/>
          <w:lang w:val="uk-UA"/>
        </w:rPr>
        <w:tab/>
      </w:r>
      <w:r w:rsidRPr="00433575">
        <w:rPr>
          <w:b/>
          <w:lang w:val="uk-UA"/>
        </w:rPr>
        <w:tab/>
      </w:r>
      <w:r w:rsidRPr="00433575">
        <w:rPr>
          <w:b/>
          <w:lang w:val="uk-UA"/>
        </w:rPr>
        <w:tab/>
      </w:r>
      <w:r w:rsidRPr="00433575">
        <w:rPr>
          <w:b/>
          <w:lang w:val="uk-UA"/>
        </w:rPr>
        <w:tab/>
      </w:r>
      <w:proofErr w:type="spellStart"/>
      <w:r w:rsidRPr="00433575">
        <w:rPr>
          <w:b/>
          <w:lang w:val="uk-UA"/>
        </w:rPr>
        <w:t>к.б.н</w:t>
      </w:r>
      <w:proofErr w:type="spellEnd"/>
      <w:r w:rsidRPr="00433575">
        <w:rPr>
          <w:b/>
          <w:lang w:val="uk-UA"/>
        </w:rPr>
        <w:t xml:space="preserve">. </w:t>
      </w:r>
      <w:proofErr w:type="spellStart"/>
      <w:r w:rsidRPr="00433575">
        <w:rPr>
          <w:b/>
          <w:lang w:val="uk-UA"/>
        </w:rPr>
        <w:t>Господарьов</w:t>
      </w:r>
      <w:proofErr w:type="spellEnd"/>
      <w:r w:rsidRPr="00433575">
        <w:rPr>
          <w:b/>
          <w:lang w:val="uk-UA"/>
        </w:rPr>
        <w:t xml:space="preserve"> Дмитро Валерійович</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C46E3"/>
    <w:rsid w:val="000D5DD1"/>
    <w:rsid w:val="000D5EE3"/>
    <w:rsid w:val="000E589B"/>
    <w:rsid w:val="001039A3"/>
    <w:rsid w:val="00123044"/>
    <w:rsid w:val="00151BC4"/>
    <w:rsid w:val="00193CEB"/>
    <w:rsid w:val="001D35A2"/>
    <w:rsid w:val="002039C2"/>
    <w:rsid w:val="00245156"/>
    <w:rsid w:val="002545FC"/>
    <w:rsid w:val="00254871"/>
    <w:rsid w:val="002603B6"/>
    <w:rsid w:val="00272DA5"/>
    <w:rsid w:val="00274AC3"/>
    <w:rsid w:val="00285143"/>
    <w:rsid w:val="002A7771"/>
    <w:rsid w:val="002C2330"/>
    <w:rsid w:val="002C278D"/>
    <w:rsid w:val="002D39E8"/>
    <w:rsid w:val="002E16E5"/>
    <w:rsid w:val="00335A19"/>
    <w:rsid w:val="00373614"/>
    <w:rsid w:val="00395013"/>
    <w:rsid w:val="003D23BC"/>
    <w:rsid w:val="003E1483"/>
    <w:rsid w:val="003E294B"/>
    <w:rsid w:val="0040104E"/>
    <w:rsid w:val="004206EC"/>
    <w:rsid w:val="00426BDC"/>
    <w:rsid w:val="0042714F"/>
    <w:rsid w:val="00433575"/>
    <w:rsid w:val="0044513F"/>
    <w:rsid w:val="00457D4E"/>
    <w:rsid w:val="00483A45"/>
    <w:rsid w:val="00496092"/>
    <w:rsid w:val="004C1751"/>
    <w:rsid w:val="004F7AFF"/>
    <w:rsid w:val="005359FC"/>
    <w:rsid w:val="00551662"/>
    <w:rsid w:val="005735C2"/>
    <w:rsid w:val="005C006F"/>
    <w:rsid w:val="005F34AB"/>
    <w:rsid w:val="00605CB9"/>
    <w:rsid w:val="006520A3"/>
    <w:rsid w:val="00654CF9"/>
    <w:rsid w:val="006871C7"/>
    <w:rsid w:val="0069038F"/>
    <w:rsid w:val="006A14B2"/>
    <w:rsid w:val="006A30C5"/>
    <w:rsid w:val="006E1E6B"/>
    <w:rsid w:val="0077432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731DE"/>
    <w:rsid w:val="009920E4"/>
    <w:rsid w:val="00997B3B"/>
    <w:rsid w:val="009A2779"/>
    <w:rsid w:val="009A6C88"/>
    <w:rsid w:val="009A7DD1"/>
    <w:rsid w:val="009C6FC9"/>
    <w:rsid w:val="009D53D5"/>
    <w:rsid w:val="009E25A4"/>
    <w:rsid w:val="009E56AB"/>
    <w:rsid w:val="00A03283"/>
    <w:rsid w:val="00A402FD"/>
    <w:rsid w:val="00A43838"/>
    <w:rsid w:val="00A46F77"/>
    <w:rsid w:val="00A92208"/>
    <w:rsid w:val="00AB324B"/>
    <w:rsid w:val="00AC76DC"/>
    <w:rsid w:val="00AD17CE"/>
    <w:rsid w:val="00AE4DBA"/>
    <w:rsid w:val="00AF57C2"/>
    <w:rsid w:val="00B07E33"/>
    <w:rsid w:val="00B10652"/>
    <w:rsid w:val="00B10A22"/>
    <w:rsid w:val="00B42898"/>
    <w:rsid w:val="00B512FE"/>
    <w:rsid w:val="00B57B28"/>
    <w:rsid w:val="00B67674"/>
    <w:rsid w:val="00B701BF"/>
    <w:rsid w:val="00B83D08"/>
    <w:rsid w:val="00B9152E"/>
    <w:rsid w:val="00B93336"/>
    <w:rsid w:val="00BC32A7"/>
    <w:rsid w:val="00BC3E1A"/>
    <w:rsid w:val="00BD658E"/>
    <w:rsid w:val="00BF3E4D"/>
    <w:rsid w:val="00C23F1B"/>
    <w:rsid w:val="00C321E1"/>
    <w:rsid w:val="00C32E2F"/>
    <w:rsid w:val="00C32F3F"/>
    <w:rsid w:val="00C53349"/>
    <w:rsid w:val="00C67355"/>
    <w:rsid w:val="00C81B4F"/>
    <w:rsid w:val="00CA1BE2"/>
    <w:rsid w:val="00CB3478"/>
    <w:rsid w:val="00CE6C16"/>
    <w:rsid w:val="00CF3041"/>
    <w:rsid w:val="00D174AA"/>
    <w:rsid w:val="00D700AB"/>
    <w:rsid w:val="00D74B80"/>
    <w:rsid w:val="00D837E9"/>
    <w:rsid w:val="00DD56CE"/>
    <w:rsid w:val="00DD76A4"/>
    <w:rsid w:val="00DE2FDE"/>
    <w:rsid w:val="00DE4B7A"/>
    <w:rsid w:val="00E11EC6"/>
    <w:rsid w:val="00E2245F"/>
    <w:rsid w:val="00E5238F"/>
    <w:rsid w:val="00E62C02"/>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 w:val="00FD625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6BB24-5868-4FF9-814D-343436C0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3831</Words>
  <Characters>2184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15</cp:revision>
  <cp:lastPrinted>2020-10-13T06:35:00Z</cp:lastPrinted>
  <dcterms:created xsi:type="dcterms:W3CDTF">2021-04-06T06:58:00Z</dcterms:created>
  <dcterms:modified xsi:type="dcterms:W3CDTF">2021-05-16T11:59:00Z</dcterms:modified>
</cp:coreProperties>
</file>