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61A2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14:paraId="63117E0F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14:paraId="311DE91B" w14:textId="77777777"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14:paraId="63847A9C" w14:textId="77777777"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14:paraId="6C60AFA6" w14:textId="77777777"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14:paraId="543F729B" w14:textId="77777777" w:rsidR="00395013" w:rsidRPr="00123044" w:rsidRDefault="00395013" w:rsidP="00395013">
      <w:pPr>
        <w:jc w:val="center"/>
        <w:rPr>
          <w:lang w:val="uk-UA"/>
        </w:rPr>
      </w:pPr>
    </w:p>
    <w:p w14:paraId="211C9587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14:paraId="60A12120" w14:textId="77777777" w:rsidR="00395013" w:rsidRPr="00123044" w:rsidRDefault="00395013" w:rsidP="00395013">
      <w:pPr>
        <w:jc w:val="center"/>
        <w:rPr>
          <w:b/>
          <w:lang w:val="uk-UA"/>
        </w:rPr>
      </w:pPr>
    </w:p>
    <w:p w14:paraId="2080B499" w14:textId="2FD13909" w:rsidR="00395013" w:rsidRPr="009D1A75" w:rsidRDefault="003F4137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СИСТЕМНА БІОЛОГІЯ</w:t>
      </w:r>
    </w:p>
    <w:p w14:paraId="049D219C" w14:textId="77777777"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14:paraId="1B1F10DA" w14:textId="77777777" w:rsidR="00395013" w:rsidRPr="00123044" w:rsidRDefault="00B10A22" w:rsidP="00F83073">
      <w:pPr>
        <w:jc w:val="center"/>
      </w:pPr>
      <w:r w:rsidRPr="00123044">
        <w:rPr>
          <w:lang w:val="uk-UA"/>
        </w:rPr>
        <w:t xml:space="preserve">Освітня </w:t>
      </w:r>
      <w:r w:rsidR="00C67355" w:rsidRPr="00123044"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14:paraId="11D630FF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14:paraId="61226A25" w14:textId="77777777" w:rsidR="00B10A22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14:paraId="76C4A291" w14:textId="77777777" w:rsidR="00DF5E99" w:rsidRDefault="00DF5E99" w:rsidP="00F83073">
      <w:pPr>
        <w:jc w:val="center"/>
        <w:rPr>
          <w:lang w:val="uk-UA"/>
        </w:rPr>
      </w:pPr>
    </w:p>
    <w:p w14:paraId="709D8C7C" w14:textId="77777777" w:rsidR="00DF5E99" w:rsidRDefault="00DF5E99" w:rsidP="00F83073">
      <w:pPr>
        <w:jc w:val="center"/>
        <w:rPr>
          <w:lang w:val="uk-UA"/>
        </w:rPr>
      </w:pPr>
    </w:p>
    <w:p w14:paraId="67235BF8" w14:textId="77777777" w:rsidR="00DF5E99" w:rsidRDefault="00DF5E99" w:rsidP="00F83073">
      <w:pPr>
        <w:jc w:val="center"/>
        <w:rPr>
          <w:lang w:val="uk-UA"/>
        </w:rPr>
      </w:pPr>
    </w:p>
    <w:p w14:paraId="4394D895" w14:textId="094477A0" w:rsidR="00DF5E99" w:rsidRPr="00DF5E99" w:rsidRDefault="00DF5E99" w:rsidP="00DF5E99">
      <w:pPr>
        <w:jc w:val="center"/>
        <w:rPr>
          <w:lang w:val="uk-UA"/>
        </w:rPr>
      </w:pPr>
      <w:r w:rsidRPr="00DF5E99">
        <w:rPr>
          <w:lang w:val="uk-UA"/>
        </w:rPr>
        <w:t>може розумітися як:</w:t>
      </w:r>
    </w:p>
    <w:p w14:paraId="4045B1BB" w14:textId="77777777" w:rsidR="00DF5E99" w:rsidRPr="00DF5E99" w:rsidRDefault="00DF5E99" w:rsidP="00DF5E99">
      <w:pPr>
        <w:jc w:val="center"/>
        <w:rPr>
          <w:lang w:val="uk-UA"/>
        </w:rPr>
      </w:pPr>
    </w:p>
    <w:p w14:paraId="07AEAF80" w14:textId="1AED7DED" w:rsidR="00DF5E99" w:rsidRPr="00DF5E99" w:rsidRDefault="00DF5E99" w:rsidP="00DF5E99">
      <w:pPr>
        <w:jc w:val="both"/>
        <w:rPr>
          <w:lang w:val="uk-UA"/>
        </w:rPr>
      </w:pPr>
      <w:r w:rsidRPr="00DF5E99">
        <w:rPr>
          <w:lang w:val="uk-UA"/>
        </w:rPr>
        <w:t>Системна біологія присвячена вивченню взаємодій між складовими біологічних систем, і як ці взаємодії приводять до появи функцій і характеристик систем. Наприклад, взаємодія метаболітів і ферментів в метаболічних системах.</w:t>
      </w:r>
      <w:r>
        <w:rPr>
          <w:lang w:val="uk-UA"/>
        </w:rPr>
        <w:t xml:space="preserve"> </w:t>
      </w:r>
      <w:r w:rsidRPr="00DF5E99">
        <w:rPr>
          <w:lang w:val="uk-UA"/>
        </w:rPr>
        <w:t>Набір дослідницьких протоколів, а саме, цикл досліджень, що складається з теорії, аналітичного або комп'ютерного моделювання для формулювання гіпотез про систему, експериментальної перевірки, і потім використання отриманих даних для опису клітини або клітинних процесів для поліпшення комп</w:t>
      </w:r>
      <w:r>
        <w:rPr>
          <w:lang w:val="uk-UA"/>
        </w:rPr>
        <w:t>'ютерної моделі або теорії</w:t>
      </w:r>
      <w:r w:rsidRPr="00DF5E99">
        <w:rPr>
          <w:lang w:val="uk-UA"/>
        </w:rPr>
        <w:t>. Оскільки метою є модель взаємодій в складній системі</w:t>
      </w:r>
      <w:r>
        <w:rPr>
          <w:lang w:val="uk-UA"/>
        </w:rPr>
        <w:t xml:space="preserve"> </w:t>
      </w:r>
      <w:r w:rsidRPr="00DF5E99">
        <w:rPr>
          <w:lang w:val="uk-UA"/>
        </w:rPr>
        <w:t>для верифікації моделей використовуються такі методики як транскриптоміка, метаболоміка, протеоміка та інші високопродуктивні технології для збору чисельних даних.</w:t>
      </w:r>
      <w:r>
        <w:rPr>
          <w:lang w:val="uk-UA"/>
        </w:rPr>
        <w:t xml:space="preserve"> </w:t>
      </w:r>
      <w:r w:rsidRPr="00DF5E99">
        <w:rPr>
          <w:lang w:val="uk-UA"/>
        </w:rPr>
        <w:t>Для верифікації створюваних моделей системна біологія працює із найрізноманітнішими типами експериментальних даних, що описують як окремі складові, так і систему в цілому. Найчастіше як вихідна інформація для формулювання гіпотез і висновків використовуються дані, отримані в інших областях біології: біохімії, біофізики, молекулярної біології. Проте, існує ряд специфічних методів, міцно асоційованих з системною біологією. Ці методи характеризує велика кількість експериментальних вимірювань, а також одночасне детектування багатьох характеристик, що стало можливим з появою автоматизованих потокових методик експериментів.</w:t>
      </w:r>
    </w:p>
    <w:p w14:paraId="538F88FB" w14:textId="77777777" w:rsidR="00DF5E99" w:rsidRPr="00DF5E99" w:rsidRDefault="00DF5E99" w:rsidP="00DF5E99">
      <w:pPr>
        <w:jc w:val="both"/>
        <w:rPr>
          <w:lang w:val="uk-UA"/>
        </w:rPr>
      </w:pPr>
    </w:p>
    <w:p w14:paraId="004F0089" w14:textId="77777777" w:rsidR="00395013" w:rsidRPr="00123044" w:rsidRDefault="00395013" w:rsidP="00DF5E99">
      <w:pPr>
        <w:rPr>
          <w:lang w:val="uk-UA"/>
        </w:rPr>
      </w:pPr>
    </w:p>
    <w:p w14:paraId="71D43B3E" w14:textId="77777777" w:rsidR="00395013" w:rsidRPr="00123044" w:rsidRDefault="00395013" w:rsidP="00395013">
      <w:pPr>
        <w:jc w:val="center"/>
        <w:rPr>
          <w:lang w:val="uk-UA"/>
        </w:rPr>
      </w:pPr>
    </w:p>
    <w:p w14:paraId="75F1B18F" w14:textId="77777777" w:rsidR="002C2330" w:rsidRPr="00123044" w:rsidRDefault="00AE4DBA" w:rsidP="00AE4DBA">
      <w:pPr>
        <w:pStyle w:val="ListParagraph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AE4DBA" w:rsidRPr="00123044" w14:paraId="16A15103" w14:textId="77777777" w:rsidTr="00A03283">
        <w:tc>
          <w:tcPr>
            <w:tcW w:w="3767" w:type="dxa"/>
          </w:tcPr>
          <w:p w14:paraId="5435A2B9" w14:textId="77777777" w:rsidR="00AE4DBA" w:rsidRPr="00123044" w:rsidRDefault="00AE4DBA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14:paraId="28B08314" w14:textId="2ED11873" w:rsidR="00AE4DBA" w:rsidRPr="00123044" w:rsidRDefault="00936FE9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Системна біологія</w:t>
            </w:r>
          </w:p>
        </w:tc>
      </w:tr>
      <w:tr w:rsidR="009D53D5" w:rsidRPr="00123044" w14:paraId="38747FFB" w14:textId="77777777" w:rsidTr="00A03283">
        <w:tc>
          <w:tcPr>
            <w:tcW w:w="3767" w:type="dxa"/>
          </w:tcPr>
          <w:p w14:paraId="45ADA327" w14:textId="77777777" w:rsidR="009D53D5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14:paraId="3158D873" w14:textId="77777777" w:rsidR="009D53D5" w:rsidRPr="00123044" w:rsidRDefault="00DD76A4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14:paraId="48106AC8" w14:textId="77777777" w:rsidTr="00A03283">
        <w:tc>
          <w:tcPr>
            <w:tcW w:w="3767" w:type="dxa"/>
          </w:tcPr>
          <w:p w14:paraId="685E8F9B" w14:textId="77777777" w:rsidR="00AE4DBA" w:rsidRPr="00123044" w:rsidRDefault="00DD56CE" w:rsidP="009D53D5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14:paraId="0EB81BD5" w14:textId="77777777" w:rsidR="00AE4DBA" w:rsidRPr="00123044" w:rsidRDefault="001D35A2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14:paraId="5C9AA090" w14:textId="77777777" w:rsidTr="00A03283">
        <w:tc>
          <w:tcPr>
            <w:tcW w:w="3767" w:type="dxa"/>
          </w:tcPr>
          <w:p w14:paraId="38DD6189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14:paraId="1FF3874F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14:paraId="6F23EC4C" w14:textId="77777777" w:rsidTr="00A03283">
        <w:tc>
          <w:tcPr>
            <w:tcW w:w="3767" w:type="dxa"/>
          </w:tcPr>
          <w:p w14:paraId="330E9D5D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14:paraId="52B7C596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14:paraId="40D620FD" w14:textId="77777777" w:rsidTr="00A03283">
        <w:tc>
          <w:tcPr>
            <w:tcW w:w="3767" w:type="dxa"/>
          </w:tcPr>
          <w:p w14:paraId="502D1386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14:paraId="6C52D584" w14:textId="528FE464" w:rsidR="00DD56CE" w:rsidRPr="00123044" w:rsidRDefault="00936FE9" w:rsidP="00DD76A4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</w:p>
        </w:tc>
      </w:tr>
      <w:tr w:rsidR="00DD56CE" w:rsidRPr="00123044" w14:paraId="2B89F736" w14:textId="77777777" w:rsidTr="00A03283">
        <w:tc>
          <w:tcPr>
            <w:tcW w:w="3767" w:type="dxa"/>
          </w:tcPr>
          <w:p w14:paraId="71BC6372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14:paraId="63400EF0" w14:textId="77777777" w:rsidR="00DD56CE" w:rsidRPr="00123044" w:rsidRDefault="00457D4E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14:paraId="7384E288" w14:textId="77777777" w:rsidTr="00A03283">
        <w:tc>
          <w:tcPr>
            <w:tcW w:w="3767" w:type="dxa"/>
          </w:tcPr>
          <w:p w14:paraId="66DDAD47" w14:textId="77777777" w:rsidR="00245156" w:rsidRPr="00123044" w:rsidRDefault="00245156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14:paraId="614D74C0" w14:textId="6EB7285A" w:rsidR="00245156" w:rsidRPr="00123044" w:rsidRDefault="002D631C" w:rsidP="00DE2FDE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І</w:t>
            </w:r>
            <w:r w:rsidR="00DD76A4" w:rsidRPr="00123044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</w:p>
        </w:tc>
      </w:tr>
      <w:tr w:rsidR="00245156" w:rsidRPr="00123044" w14:paraId="15A677D6" w14:textId="77777777" w:rsidTr="00A03283">
        <w:tc>
          <w:tcPr>
            <w:tcW w:w="3767" w:type="dxa"/>
          </w:tcPr>
          <w:p w14:paraId="4BF3741E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14:paraId="55BA6E5A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14:paraId="6C284929" w14:textId="5C652D27" w:rsidR="00245156" w:rsidRPr="00123044" w:rsidRDefault="007B7A43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Лекції – </w:t>
            </w:r>
            <w:r w:rsidR="002D631C">
              <w:rPr>
                <w:lang w:val="uk-UA"/>
              </w:rPr>
              <w:t>46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608B9B42" w14:textId="1A0460E2" w:rsidR="00245156" w:rsidRPr="00123044" w:rsidRDefault="00D174AA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B97E24">
              <w:rPr>
                <w:lang w:val="uk-UA"/>
              </w:rPr>
              <w:t>18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66D02C6F" w14:textId="2D5EB261" w:rsidR="00245156" w:rsidRDefault="00F22016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B97E24">
              <w:rPr>
                <w:lang w:val="uk-UA"/>
              </w:rPr>
              <w:t>116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5B458905" w14:textId="5A0A0A6D" w:rsidR="007E5568" w:rsidRPr="00123044" w:rsidRDefault="007E5568" w:rsidP="00245156">
            <w:pPr>
              <w:pStyle w:val="ListParagraph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- </w:t>
            </w:r>
            <w:r w:rsidR="00B97E24">
              <w:rPr>
                <w:lang w:val="uk-UA"/>
              </w:rPr>
              <w:t>6</w:t>
            </w:r>
          </w:p>
        </w:tc>
      </w:tr>
      <w:tr w:rsidR="00DD56CE" w:rsidRPr="00123044" w14:paraId="75019902" w14:textId="77777777" w:rsidTr="00A03283">
        <w:tc>
          <w:tcPr>
            <w:tcW w:w="3767" w:type="dxa"/>
          </w:tcPr>
          <w:p w14:paraId="2E4FF940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14:paraId="4D19E20B" w14:textId="13DBA0FA" w:rsidR="00DD56CE" w:rsidRPr="00123044" w:rsidRDefault="00F22A18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Англійська</w:t>
            </w:r>
          </w:p>
        </w:tc>
      </w:tr>
      <w:tr w:rsidR="00A03283" w:rsidRPr="00123044" w14:paraId="0E81DA6C" w14:textId="77777777" w:rsidTr="008373F0">
        <w:tc>
          <w:tcPr>
            <w:tcW w:w="9345" w:type="dxa"/>
            <w:gridSpan w:val="2"/>
          </w:tcPr>
          <w:p w14:paraId="5957D9D6" w14:textId="77777777" w:rsidR="00A03283" w:rsidRPr="00123044" w:rsidRDefault="00A03283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lastRenderedPageBreak/>
              <w:t>Посилання на сайт дистанційного навчання:</w:t>
            </w:r>
          </w:p>
          <w:p w14:paraId="1A4CC72D" w14:textId="77777777" w:rsidR="00A03283" w:rsidRPr="00123044" w:rsidRDefault="00A03283" w:rsidP="00AE4DBA">
            <w:pPr>
              <w:pStyle w:val="ListParagraph"/>
              <w:ind w:left="0"/>
              <w:rPr>
                <w:lang w:val="uk-UA"/>
              </w:rPr>
            </w:pPr>
          </w:p>
        </w:tc>
      </w:tr>
    </w:tbl>
    <w:p w14:paraId="26A5293E" w14:textId="77777777" w:rsidR="00A03283" w:rsidRPr="00123044" w:rsidRDefault="00A03283" w:rsidP="00DE2FDE">
      <w:pPr>
        <w:pStyle w:val="ListParagraph"/>
        <w:ind w:left="0"/>
        <w:jc w:val="center"/>
        <w:rPr>
          <w:b/>
          <w:lang w:val="uk-UA"/>
        </w:rPr>
      </w:pPr>
    </w:p>
    <w:p w14:paraId="292BF85B" w14:textId="77777777" w:rsidR="00DE2FDE" w:rsidRPr="00123044" w:rsidRDefault="00DE2FDE" w:rsidP="00DE2FDE">
      <w:pPr>
        <w:pStyle w:val="ListParagraph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123044" w14:paraId="3255F464" w14:textId="77777777" w:rsidTr="00DE2FDE">
        <w:tc>
          <w:tcPr>
            <w:tcW w:w="9571" w:type="dxa"/>
          </w:tcPr>
          <w:p w14:paraId="16E383D1" w14:textId="287D950A"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14:paraId="3144AAB7" w14:textId="1E76AC34" w:rsidR="00C32E2F" w:rsidRPr="005D11B8" w:rsidRDefault="00DF5E99" w:rsidP="00B81927">
            <w:pPr>
              <w:jc w:val="both"/>
              <w:rPr>
                <w:lang w:val="uk-UA"/>
              </w:rPr>
            </w:pPr>
            <w:r w:rsidRPr="00DF5E99">
              <w:rPr>
                <w:lang w:val="uk-UA"/>
              </w:rPr>
              <w:t>Системна біологія присвячена вивченню взаємодій між складовими біологічних систем, і як ці взаємодії приводять до появи функцій і характеристик систем. Наприклад, взаємодія метаболітів і ферментів в метаболічних системах.</w:t>
            </w:r>
            <w:r>
              <w:rPr>
                <w:lang w:val="uk-UA"/>
              </w:rPr>
              <w:t xml:space="preserve"> </w:t>
            </w:r>
            <w:r w:rsidRPr="00DF5E99">
              <w:rPr>
                <w:lang w:val="uk-UA"/>
              </w:rPr>
              <w:t>Набір дослідницьких протоколів, а саме, цикл досліджень, що складається з теорії, аналітичного або комп'ютерного моделювання для формулювання гіпотез про систему, експериментальної перевірки, і потім використання отриманих даних для опису клітини або клітинних процесів для поліпшення комп</w:t>
            </w:r>
            <w:r>
              <w:rPr>
                <w:lang w:val="uk-UA"/>
              </w:rPr>
              <w:t>'ютерної моделі або теорії</w:t>
            </w:r>
            <w:r w:rsidRPr="00DF5E99">
              <w:rPr>
                <w:lang w:val="uk-UA"/>
              </w:rPr>
              <w:t>. Оскільки метою є модель взаємодій в складній системі</w:t>
            </w:r>
            <w:r>
              <w:rPr>
                <w:lang w:val="uk-UA"/>
              </w:rPr>
              <w:t xml:space="preserve"> </w:t>
            </w:r>
            <w:r w:rsidRPr="00DF5E99">
              <w:rPr>
                <w:lang w:val="uk-UA"/>
              </w:rPr>
              <w:t>для верифікації моделей використовуються такі методики як транскриптоміка, метаболоміка, протеоміка</w:t>
            </w:r>
            <w:r w:rsidR="009E2D0E">
              <w:rPr>
                <w:lang w:val="uk-UA"/>
              </w:rPr>
              <w:t xml:space="preserve"> </w:t>
            </w:r>
            <w:r w:rsidRPr="00DF5E99">
              <w:rPr>
                <w:lang w:val="uk-UA"/>
              </w:rPr>
              <w:t>та інші високопродуктивні технології для збору чисельних даних</w:t>
            </w:r>
            <w:r w:rsidR="00B81927">
              <w:rPr>
                <w:lang w:val="uk-UA"/>
              </w:rPr>
              <w:t xml:space="preserve"> </w:t>
            </w:r>
            <w:r w:rsidR="00B81927">
              <w:rPr>
                <w:lang w:val="uk-UA"/>
              </w:rPr>
              <w:t>так звані “оміки”</w:t>
            </w:r>
            <w:r w:rsidRPr="00DF5E9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DF5E99">
              <w:rPr>
                <w:lang w:val="uk-UA"/>
              </w:rPr>
              <w:t>Для верифікації створюваних моделей системна біологія працює із найрізноманітнішими типами експериментальних даних, що описують як окремі складові, так і систему в цілому. Найчастіше як вихідна інформація для формулювання гіпотез і висновків використовуються дані, отримані в інших областях біології: біохімії, біофізики, молекулярної біології. Проте, існує ряд специфічних методів, міцно асоційованих з системною біологією. Ці методи характеризує велика кількість експериментальних вимірювань, а також одночасне детектування багатьох характеристик, що стало можливим з появою автоматизованих потокових методик експериментів.</w:t>
            </w:r>
            <w:r w:rsidR="008D0F69">
              <w:rPr>
                <w:lang w:val="uk-UA"/>
              </w:rPr>
              <w:t xml:space="preserve"> Відповідно метою курсу є ознайомле</w:t>
            </w:r>
            <w:r w:rsidR="00782542">
              <w:rPr>
                <w:lang w:val="uk-UA"/>
              </w:rPr>
              <w:t>ння з</w:t>
            </w:r>
            <w:bookmarkStart w:id="0" w:name="_GoBack"/>
            <w:bookmarkEnd w:id="0"/>
            <w:r w:rsidR="008D0F69">
              <w:rPr>
                <w:lang w:val="uk-UA"/>
              </w:rPr>
              <w:t xml:space="preserve"> “оміками”, результатами які отримуються в ко</w:t>
            </w:r>
            <w:r w:rsidR="00784ABC">
              <w:rPr>
                <w:lang w:val="uk-UA"/>
              </w:rPr>
              <w:t>жній з них, методи аналізу і вза</w:t>
            </w:r>
            <w:r w:rsidR="008D0F69">
              <w:rPr>
                <w:lang w:val="uk-UA"/>
              </w:rPr>
              <w:t>ємодії між ними для отримання комплексних ефектів.</w:t>
            </w:r>
          </w:p>
        </w:tc>
      </w:tr>
      <w:tr w:rsidR="00DE2FDE" w:rsidRPr="00BF7AD1" w14:paraId="54467C96" w14:textId="77777777" w:rsidTr="00DE2FDE">
        <w:tc>
          <w:tcPr>
            <w:tcW w:w="9571" w:type="dxa"/>
          </w:tcPr>
          <w:p w14:paraId="268D65DD" w14:textId="77777777" w:rsidR="00DE2FDE" w:rsidRPr="005D11B8" w:rsidRDefault="00DE2FDE" w:rsidP="00F22016">
            <w:pPr>
              <w:pStyle w:val="ListParagraph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14:paraId="19899858" w14:textId="77777777" w:rsidR="0069038F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Аналіз та синтез (С1)</w:t>
            </w:r>
            <w:r w:rsidRPr="005D11B8">
              <w:rPr>
                <w:lang w:val="uk-UA"/>
              </w:rPr>
              <w:t xml:space="preserve"> - здатність до аналізу та синтезу на основі логічних аргументів та перевірених фактів.</w:t>
            </w:r>
          </w:p>
          <w:p w14:paraId="4EA61F44" w14:textId="77777777" w:rsidR="00F64FF6" w:rsidRPr="005D11B8" w:rsidRDefault="00F64FF6" w:rsidP="00F64FF6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11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Глибокі знання та розуміння(С8)</w:t>
            </w:r>
            <w:r w:rsidRPr="005D1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 </w:t>
            </w:r>
          </w:p>
          <w:p w14:paraId="560A4F7D" w14:textId="77777777" w:rsidR="00F64FF6" w:rsidRPr="005D11B8" w:rsidRDefault="00F64FF6" w:rsidP="00F64FF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Розв’язання проблем(С11)</w:t>
            </w:r>
            <w:r w:rsidRPr="005D11B8">
              <w:rPr>
                <w:lang w:val="uk-UA"/>
              </w:rPr>
              <w:t xml:space="preserve"> -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14:paraId="64985BCE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Ерудиція в області сучасної експериментальної біології(С13)</w:t>
            </w:r>
            <w:r w:rsidRPr="005D11B8">
              <w:rPr>
                <w:lang w:val="uk-UA"/>
              </w:rPr>
              <w:t xml:space="preserve"> -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14:paraId="4406CF2B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Здатність до навчання(С14)</w:t>
            </w:r>
            <w:r w:rsidRPr="005D11B8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BF7AD1" w14:paraId="3ECDFEE2" w14:textId="77777777" w:rsidTr="00DE2FDE">
        <w:tc>
          <w:tcPr>
            <w:tcW w:w="9571" w:type="dxa"/>
          </w:tcPr>
          <w:p w14:paraId="2F2669C6" w14:textId="77777777" w:rsidR="00DE2FDE" w:rsidRPr="00123044" w:rsidRDefault="00DE2FDE" w:rsidP="00DE4B7A">
            <w:pPr>
              <w:pStyle w:val="ListParagraph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14:paraId="6FB49E41" w14:textId="77777777" w:rsidR="0069038F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1. </w:t>
            </w:r>
            <w:r w:rsidRPr="007B3679">
              <w:rPr>
                <w:lang w:val="uk-UA"/>
              </w:rPr>
              <w:t>З</w:t>
            </w:r>
            <w:r w:rsidRPr="009B0DBE">
              <w:rPr>
                <w:lang w:val="uk-UA"/>
              </w:rPr>
              <w:t>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14:paraId="7F280ED5" w14:textId="77777777" w:rsidR="00F64FF6" w:rsidRPr="00123044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8. </w:t>
            </w:r>
            <w:r w:rsidRPr="009B0DBE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</w:t>
            </w:r>
            <w:r w:rsidRPr="007B3679">
              <w:rPr>
                <w:lang w:val="uk-UA"/>
              </w:rPr>
              <w:t xml:space="preserve">, біотехнології, імунології </w:t>
            </w:r>
            <w:r w:rsidRPr="009B0DBE">
              <w:rPr>
                <w:lang w:val="uk-UA"/>
              </w:rPr>
              <w:t>(С8, С13-С14).</w:t>
            </w:r>
          </w:p>
        </w:tc>
      </w:tr>
    </w:tbl>
    <w:p w14:paraId="7FB80787" w14:textId="77777777" w:rsidR="00AE4DBA" w:rsidRPr="00123044" w:rsidRDefault="00AE4DBA" w:rsidP="00DE2FDE">
      <w:pPr>
        <w:pStyle w:val="ListParagraph"/>
        <w:ind w:left="0"/>
        <w:rPr>
          <w:lang w:val="uk-UA"/>
        </w:rPr>
      </w:pPr>
    </w:p>
    <w:p w14:paraId="5205C7AB" w14:textId="77777777" w:rsidR="00E2245F" w:rsidRPr="00123044" w:rsidRDefault="00E2245F" w:rsidP="006520A3">
      <w:pPr>
        <w:jc w:val="right"/>
        <w:rPr>
          <w:b/>
          <w:lang w:val="uk-UA"/>
        </w:rPr>
      </w:pPr>
    </w:p>
    <w:p w14:paraId="42C9CE40" w14:textId="029019E6" w:rsidR="007E5568" w:rsidRPr="00123044" w:rsidRDefault="003C3464" w:rsidP="003C3464">
      <w:pPr>
        <w:rPr>
          <w:b/>
          <w:lang w:val="uk-UA"/>
        </w:rPr>
      </w:pPr>
      <w:r>
        <w:rPr>
          <w:b/>
          <w:lang w:val="uk-UA"/>
        </w:rPr>
        <w:t xml:space="preserve">Викладач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к</w:t>
      </w:r>
      <w:r w:rsidR="007E5568">
        <w:rPr>
          <w:b/>
          <w:lang w:val="uk-UA"/>
        </w:rPr>
        <w:t xml:space="preserve">.б.н. </w:t>
      </w:r>
      <w:r>
        <w:rPr>
          <w:b/>
          <w:lang w:val="uk-UA"/>
        </w:rPr>
        <w:t>Лущак Олег Володимирович</w:t>
      </w:r>
    </w:p>
    <w:p w14:paraId="52FA5300" w14:textId="77777777" w:rsidR="006520A3" w:rsidRDefault="006520A3" w:rsidP="006520A3">
      <w:pPr>
        <w:jc w:val="right"/>
        <w:rPr>
          <w:b/>
          <w:lang w:val="uk-UA"/>
        </w:rPr>
      </w:pPr>
    </w:p>
    <w:p w14:paraId="11B00A49" w14:textId="77777777" w:rsidR="00DF5E99" w:rsidRDefault="00DF5E99" w:rsidP="006520A3">
      <w:pPr>
        <w:jc w:val="right"/>
        <w:rPr>
          <w:b/>
          <w:lang w:val="uk-UA"/>
        </w:rPr>
      </w:pPr>
    </w:p>
    <w:p w14:paraId="298746D2" w14:textId="77777777" w:rsidR="00DF5E99" w:rsidRDefault="00DF5E99" w:rsidP="006520A3">
      <w:pPr>
        <w:jc w:val="right"/>
        <w:rPr>
          <w:b/>
          <w:lang w:val="uk-UA"/>
        </w:rPr>
      </w:pPr>
    </w:p>
    <w:p w14:paraId="45B4B7E3" w14:textId="77777777" w:rsidR="00DF5E99" w:rsidRPr="00123044" w:rsidRDefault="00DF5E99" w:rsidP="006520A3">
      <w:pPr>
        <w:jc w:val="right"/>
        <w:rPr>
          <w:b/>
          <w:lang w:val="uk-UA"/>
        </w:rPr>
      </w:pPr>
    </w:p>
    <w:sectPr w:rsidR="00DF5E99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71F79"/>
    <w:rsid w:val="00072283"/>
    <w:rsid w:val="00083C53"/>
    <w:rsid w:val="000B63F9"/>
    <w:rsid w:val="000C46E3"/>
    <w:rsid w:val="000D5DD1"/>
    <w:rsid w:val="000D5EE3"/>
    <w:rsid w:val="001039A3"/>
    <w:rsid w:val="00123044"/>
    <w:rsid w:val="00123365"/>
    <w:rsid w:val="00151BC4"/>
    <w:rsid w:val="00193CEB"/>
    <w:rsid w:val="001C5BD1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D631C"/>
    <w:rsid w:val="002E16E5"/>
    <w:rsid w:val="00335A19"/>
    <w:rsid w:val="00373614"/>
    <w:rsid w:val="00395013"/>
    <w:rsid w:val="003C3464"/>
    <w:rsid w:val="003D23BC"/>
    <w:rsid w:val="003E1483"/>
    <w:rsid w:val="003E294B"/>
    <w:rsid w:val="003F4137"/>
    <w:rsid w:val="0040104E"/>
    <w:rsid w:val="00404D5C"/>
    <w:rsid w:val="004073E3"/>
    <w:rsid w:val="004206EC"/>
    <w:rsid w:val="00426BDC"/>
    <w:rsid w:val="0042714F"/>
    <w:rsid w:val="0044513F"/>
    <w:rsid w:val="00457D4E"/>
    <w:rsid w:val="00483A45"/>
    <w:rsid w:val="004C1751"/>
    <w:rsid w:val="004F7AFF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2542"/>
    <w:rsid w:val="0078317D"/>
    <w:rsid w:val="00784AB3"/>
    <w:rsid w:val="00784ABC"/>
    <w:rsid w:val="00797E4C"/>
    <w:rsid w:val="007A2C00"/>
    <w:rsid w:val="007B7A43"/>
    <w:rsid w:val="007D7FE8"/>
    <w:rsid w:val="007E5568"/>
    <w:rsid w:val="008163B4"/>
    <w:rsid w:val="00817484"/>
    <w:rsid w:val="0084333C"/>
    <w:rsid w:val="008713E4"/>
    <w:rsid w:val="008A1B87"/>
    <w:rsid w:val="008A7566"/>
    <w:rsid w:val="008D0F69"/>
    <w:rsid w:val="00900FDD"/>
    <w:rsid w:val="00922E60"/>
    <w:rsid w:val="00925030"/>
    <w:rsid w:val="00936FE9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2D0E"/>
    <w:rsid w:val="009E56AB"/>
    <w:rsid w:val="00A03283"/>
    <w:rsid w:val="00A402FD"/>
    <w:rsid w:val="00A43838"/>
    <w:rsid w:val="00A46B1D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1927"/>
    <w:rsid w:val="00B83D08"/>
    <w:rsid w:val="00B9152E"/>
    <w:rsid w:val="00B93336"/>
    <w:rsid w:val="00B97E24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A64F2"/>
    <w:rsid w:val="00CB3478"/>
    <w:rsid w:val="00CF3041"/>
    <w:rsid w:val="00D0646F"/>
    <w:rsid w:val="00D174AA"/>
    <w:rsid w:val="00D603D4"/>
    <w:rsid w:val="00D700AB"/>
    <w:rsid w:val="00D74B80"/>
    <w:rsid w:val="00D837E9"/>
    <w:rsid w:val="00DA0005"/>
    <w:rsid w:val="00DD56CE"/>
    <w:rsid w:val="00DD76A4"/>
    <w:rsid w:val="00DE2FDE"/>
    <w:rsid w:val="00DE4B7A"/>
    <w:rsid w:val="00DF5E99"/>
    <w:rsid w:val="00E11EC6"/>
    <w:rsid w:val="00E2245F"/>
    <w:rsid w:val="00E5238F"/>
    <w:rsid w:val="00E764E9"/>
    <w:rsid w:val="00E90DC7"/>
    <w:rsid w:val="00EA36F2"/>
    <w:rsid w:val="00EA5F57"/>
    <w:rsid w:val="00EC08A4"/>
    <w:rsid w:val="00EE1819"/>
    <w:rsid w:val="00EE4289"/>
    <w:rsid w:val="00F062E7"/>
    <w:rsid w:val="00F22016"/>
    <w:rsid w:val="00F22A18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67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TableGrid">
    <w:name w:val="Table Grid"/>
    <w:basedOn w:val="TableNormal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C76DC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D76A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Emphasis">
    <w:name w:val="Emphasis"/>
    <w:uiPriority w:val="20"/>
    <w:qFormat/>
    <w:rsid w:val="002D39E8"/>
    <w:rPr>
      <w:i/>
      <w:iCs/>
    </w:rPr>
  </w:style>
  <w:style w:type="character" w:styleId="Strong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Normal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9C5C6-5C49-D94C-9FE2-1A19EA6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851</Words>
  <Characters>4856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Oleh Lushchak</cp:lastModifiedBy>
  <cp:revision>9</cp:revision>
  <cp:lastPrinted>2020-10-13T06:35:00Z</cp:lastPrinted>
  <dcterms:created xsi:type="dcterms:W3CDTF">2021-05-13T08:26:00Z</dcterms:created>
  <dcterms:modified xsi:type="dcterms:W3CDTF">2021-05-13T08:43:00Z</dcterms:modified>
</cp:coreProperties>
</file>