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BC0" w:rsidRDefault="00FB2BC0" w:rsidP="00FB2BC0">
      <w:pPr>
        <w:jc w:val="center"/>
        <w:rPr>
          <w:szCs w:val="28"/>
        </w:rPr>
      </w:pPr>
      <w:r>
        <w:rPr>
          <w:szCs w:val="28"/>
        </w:rPr>
        <w:t>ДВНЗ «</w:t>
      </w:r>
      <w:proofErr w:type="spellStart"/>
      <w:r>
        <w:rPr>
          <w:szCs w:val="28"/>
        </w:rPr>
        <w:t>Прикарпатський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національний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університет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імені</w:t>
      </w:r>
      <w:proofErr w:type="spellEnd"/>
      <w:r>
        <w:rPr>
          <w:szCs w:val="28"/>
        </w:rPr>
        <w:t xml:space="preserve"> Василя </w:t>
      </w:r>
      <w:proofErr w:type="spellStart"/>
      <w:r>
        <w:rPr>
          <w:szCs w:val="28"/>
        </w:rPr>
        <w:t>Стефаника</w:t>
      </w:r>
      <w:proofErr w:type="spellEnd"/>
      <w:r>
        <w:rPr>
          <w:szCs w:val="28"/>
        </w:rPr>
        <w:t>»</w:t>
      </w:r>
    </w:p>
    <w:p w:rsidR="00FB2BC0" w:rsidRPr="00FB2BC0" w:rsidRDefault="00FB2BC0" w:rsidP="00FB2BC0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Інститут післядипломної освіти та довузівської підготовки</w:t>
      </w:r>
    </w:p>
    <w:p w:rsidR="00FB2BC0" w:rsidRDefault="00FB2BC0" w:rsidP="00FB2BC0">
      <w:pPr>
        <w:jc w:val="center"/>
        <w:rPr>
          <w:szCs w:val="28"/>
        </w:rPr>
      </w:pPr>
      <w:r>
        <w:rPr>
          <w:szCs w:val="28"/>
        </w:rPr>
        <w:t xml:space="preserve">Кафедра </w:t>
      </w:r>
      <w:proofErr w:type="spellStart"/>
      <w:r>
        <w:rPr>
          <w:szCs w:val="28"/>
        </w:rPr>
        <w:t>професійної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освіти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інноваційних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технологій</w:t>
      </w:r>
      <w:proofErr w:type="spellEnd"/>
    </w:p>
    <w:p w:rsidR="00FB2BC0" w:rsidRDefault="00FB2BC0" w:rsidP="00FB2BC0">
      <w:pPr>
        <w:jc w:val="center"/>
        <w:rPr>
          <w:szCs w:val="28"/>
        </w:rPr>
      </w:pPr>
    </w:p>
    <w:p w:rsidR="00FB2BC0" w:rsidRDefault="00FB2BC0" w:rsidP="00FB2BC0">
      <w:pPr>
        <w:jc w:val="center"/>
        <w:rPr>
          <w:szCs w:val="28"/>
        </w:rPr>
      </w:pPr>
    </w:p>
    <w:p w:rsidR="00FB2BC0" w:rsidRDefault="00FB2BC0" w:rsidP="00FB2BC0">
      <w:pPr>
        <w:jc w:val="center"/>
        <w:rPr>
          <w:szCs w:val="28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Pr="00302D74" w:rsidRDefault="00FB2BC0" w:rsidP="00FB2BC0">
      <w:pPr>
        <w:jc w:val="center"/>
        <w:rPr>
          <w:b/>
          <w:sz w:val="40"/>
          <w:szCs w:val="40"/>
          <w:lang w:val="uk-UA"/>
        </w:rPr>
      </w:pPr>
    </w:p>
    <w:p w:rsidR="00FB2BC0" w:rsidRPr="00302D74" w:rsidRDefault="00FB2BC0" w:rsidP="00FB2BC0">
      <w:pPr>
        <w:jc w:val="center"/>
        <w:rPr>
          <w:b/>
          <w:sz w:val="40"/>
          <w:szCs w:val="40"/>
        </w:rPr>
      </w:pPr>
      <w:proofErr w:type="spellStart"/>
      <w:r w:rsidRPr="00302D74">
        <w:rPr>
          <w:b/>
          <w:sz w:val="40"/>
          <w:szCs w:val="40"/>
        </w:rPr>
        <w:t>Методичне</w:t>
      </w:r>
      <w:proofErr w:type="spellEnd"/>
      <w:r w:rsidRPr="00302D74">
        <w:rPr>
          <w:b/>
          <w:sz w:val="40"/>
          <w:szCs w:val="40"/>
        </w:rPr>
        <w:t xml:space="preserve"> </w:t>
      </w:r>
      <w:proofErr w:type="spellStart"/>
      <w:r w:rsidRPr="00302D74">
        <w:rPr>
          <w:b/>
          <w:sz w:val="40"/>
          <w:szCs w:val="40"/>
        </w:rPr>
        <w:t>забезпечення</w:t>
      </w:r>
      <w:proofErr w:type="spellEnd"/>
      <w:r w:rsidRPr="00302D74">
        <w:rPr>
          <w:b/>
          <w:sz w:val="40"/>
          <w:szCs w:val="40"/>
        </w:rPr>
        <w:t xml:space="preserve"> </w:t>
      </w:r>
    </w:p>
    <w:p w:rsidR="00FB2BC0" w:rsidRPr="00302D74" w:rsidRDefault="00FB2BC0" w:rsidP="00FB2BC0">
      <w:pPr>
        <w:jc w:val="center"/>
        <w:rPr>
          <w:b/>
          <w:sz w:val="40"/>
          <w:szCs w:val="40"/>
        </w:rPr>
      </w:pPr>
    </w:p>
    <w:p w:rsidR="0056464F" w:rsidRDefault="00FB2BC0" w:rsidP="00FB2B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з курсу </w:t>
      </w:r>
    </w:p>
    <w:p w:rsidR="00FB2BC0" w:rsidRPr="00302D74" w:rsidRDefault="00FB2BC0" w:rsidP="00FB2BC0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</w:rPr>
        <w:t>«</w:t>
      </w:r>
      <w:r>
        <w:rPr>
          <w:b/>
          <w:sz w:val="40"/>
          <w:szCs w:val="40"/>
          <w:lang w:val="uk-UA"/>
        </w:rPr>
        <w:t>Загальна психологія</w:t>
      </w:r>
      <w:r w:rsidRPr="00302D74">
        <w:rPr>
          <w:b/>
          <w:sz w:val="40"/>
          <w:szCs w:val="40"/>
        </w:rPr>
        <w:t>»</w:t>
      </w:r>
    </w:p>
    <w:p w:rsidR="00FB2BC0" w:rsidRDefault="00FB2BC0" w:rsidP="00FB2BC0">
      <w:pPr>
        <w:jc w:val="center"/>
        <w:rPr>
          <w:b/>
          <w:sz w:val="40"/>
          <w:szCs w:val="40"/>
          <w:lang w:val="uk-UA"/>
        </w:rPr>
      </w:pPr>
    </w:p>
    <w:p w:rsidR="0056464F" w:rsidRDefault="00250865" w:rsidP="00FB2BC0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Програмові вимоги</w:t>
      </w:r>
    </w:p>
    <w:p w:rsidR="00923796" w:rsidRDefault="00923796" w:rsidP="00FB2BC0">
      <w:pPr>
        <w:jc w:val="center"/>
        <w:rPr>
          <w:b/>
          <w:sz w:val="40"/>
          <w:szCs w:val="40"/>
          <w:lang w:val="uk-UA"/>
        </w:rPr>
      </w:pPr>
      <w:bookmarkStart w:id="0" w:name="_GoBack"/>
      <w:bookmarkEnd w:id="0"/>
    </w:p>
    <w:p w:rsidR="00923796" w:rsidRDefault="00923796" w:rsidP="00FB2BC0">
      <w:pPr>
        <w:jc w:val="center"/>
        <w:rPr>
          <w:b/>
          <w:sz w:val="40"/>
          <w:szCs w:val="40"/>
          <w:lang w:val="uk-UA"/>
        </w:rPr>
      </w:pPr>
    </w:p>
    <w:p w:rsidR="00FB2BC0" w:rsidRDefault="00923796" w:rsidP="00923796">
      <w:pPr>
        <w:jc w:val="right"/>
        <w:rPr>
          <w:szCs w:val="28"/>
          <w:lang w:val="uk-UA"/>
        </w:rPr>
      </w:pPr>
      <w:r w:rsidRPr="00923796">
        <w:rPr>
          <w:sz w:val="40"/>
          <w:szCs w:val="40"/>
          <w:lang w:val="uk-UA"/>
        </w:rPr>
        <w:t xml:space="preserve">Викладач: </w:t>
      </w:r>
      <w:r>
        <w:rPr>
          <w:b/>
          <w:sz w:val="40"/>
          <w:szCs w:val="40"/>
          <w:lang w:val="uk-UA"/>
        </w:rPr>
        <w:t xml:space="preserve">Юрій </w:t>
      </w:r>
      <w:proofErr w:type="spellStart"/>
      <w:r>
        <w:rPr>
          <w:b/>
          <w:sz w:val="40"/>
          <w:szCs w:val="40"/>
          <w:lang w:val="uk-UA"/>
        </w:rPr>
        <w:t>Сидорик</w:t>
      </w:r>
      <w:proofErr w:type="spellEnd"/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Default="00FB2BC0" w:rsidP="00FB2BC0">
      <w:pPr>
        <w:jc w:val="center"/>
        <w:rPr>
          <w:szCs w:val="28"/>
          <w:lang w:val="uk-UA"/>
        </w:rPr>
      </w:pPr>
    </w:p>
    <w:p w:rsidR="00FB2BC0" w:rsidRPr="00250865" w:rsidRDefault="00332DD6" w:rsidP="00FB2BC0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Івано-Франківськ - 2020</w:t>
      </w:r>
    </w:p>
    <w:p w:rsidR="0016024D" w:rsidRPr="00155BB3" w:rsidRDefault="0016024D" w:rsidP="0016024D">
      <w:pPr>
        <w:pStyle w:val="a4"/>
        <w:tabs>
          <w:tab w:val="clear" w:pos="4677"/>
          <w:tab w:val="clear" w:pos="9355"/>
        </w:tabs>
        <w:spacing w:line="276" w:lineRule="auto"/>
        <w:jc w:val="both"/>
        <w:rPr>
          <w:lang w:val="uk-UA"/>
        </w:rPr>
      </w:pP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Тема 1. Історія тлумачень сутності психіки у древньогрецькій філософії та філософії Середньовіччя</w:t>
      </w:r>
    </w:p>
    <w:p w:rsidR="0016024D" w:rsidRPr="00155BB3" w:rsidRDefault="0016024D" w:rsidP="0016024D">
      <w:pPr>
        <w:pStyle w:val="22"/>
        <w:shd w:val="clear" w:color="auto" w:fill="auto"/>
        <w:spacing w:before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Психіка - ідеальний об’єкт. Природа і основні функції душі в анімізмі. Природа і основні функції психіки людини за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Демокрітом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, за Платоном. Значення концептів Платона про «ідеї» та «Царство Ідей» для становлення наукової психології. Природа і функції психіки за Аристотелем. Функціонування нервової системи та психіки за Галеном. Функціонування «нервової машини» та сутність душі за Р. Декартом. Основний психологічний зміст твердження Р. Декарта </w:t>
      </w:r>
      <w:r w:rsidRPr="00155BB3">
        <w:rPr>
          <w:rStyle w:val="23"/>
          <w:rFonts w:eastAsiaTheme="minorHAnsi"/>
          <w:sz w:val="24"/>
          <w:szCs w:val="24"/>
          <w:lang w:bidi="en-US"/>
        </w:rPr>
        <w:t>“</w:t>
      </w:r>
      <w:proofErr w:type="spellStart"/>
      <w:r w:rsidRPr="00155BB3">
        <w:rPr>
          <w:rStyle w:val="23"/>
          <w:rFonts w:eastAsiaTheme="minorHAnsi"/>
          <w:sz w:val="24"/>
          <w:szCs w:val="24"/>
          <w:lang w:bidi="en-US"/>
        </w:rPr>
        <w:t>Cogito</w:t>
      </w:r>
      <w:proofErr w:type="spellEnd"/>
      <w:r w:rsidRPr="00155BB3">
        <w:rPr>
          <w:rStyle w:val="23"/>
          <w:rFonts w:eastAsiaTheme="minorHAnsi"/>
          <w:sz w:val="24"/>
          <w:szCs w:val="24"/>
          <w:lang w:bidi="en-US"/>
        </w:rPr>
        <w:t xml:space="preserve"> </w:t>
      </w:r>
      <w:proofErr w:type="spellStart"/>
      <w:r w:rsidRPr="00155BB3">
        <w:rPr>
          <w:rStyle w:val="23"/>
          <w:rFonts w:eastAsiaTheme="minorHAnsi"/>
          <w:sz w:val="24"/>
          <w:szCs w:val="24"/>
          <w:lang w:bidi="en-US"/>
        </w:rPr>
        <w:t>ergo</w:t>
      </w:r>
      <w:proofErr w:type="spellEnd"/>
      <w:r w:rsidRPr="00155BB3">
        <w:rPr>
          <w:rStyle w:val="23"/>
          <w:rFonts w:eastAsiaTheme="minorHAnsi"/>
          <w:sz w:val="24"/>
          <w:szCs w:val="24"/>
          <w:lang w:bidi="en-US"/>
        </w:rPr>
        <w:t xml:space="preserve"> </w:t>
      </w:r>
      <w:proofErr w:type="spellStart"/>
      <w:r w:rsidRPr="00155BB3">
        <w:rPr>
          <w:rStyle w:val="23"/>
          <w:rFonts w:eastAsiaTheme="minorHAnsi"/>
          <w:sz w:val="24"/>
          <w:szCs w:val="24"/>
          <w:lang w:bidi="en-US"/>
        </w:rPr>
        <w:t>sum</w:t>
      </w:r>
      <w:proofErr w:type="spellEnd"/>
      <w:r w:rsidRPr="00155BB3">
        <w:rPr>
          <w:rStyle w:val="23"/>
          <w:rFonts w:eastAsiaTheme="minorHAnsi"/>
          <w:sz w:val="24"/>
          <w:szCs w:val="24"/>
          <w:lang w:bidi="en-US"/>
        </w:rPr>
        <w:t>”.</w:t>
      </w:r>
      <w:r w:rsidRPr="00155BB3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Психологічна сутність </w:t>
      </w:r>
      <w:r w:rsidRPr="00155BB3">
        <w:rPr>
          <w:rStyle w:val="23"/>
          <w:rFonts w:eastAsiaTheme="minorHAnsi"/>
          <w:sz w:val="24"/>
          <w:szCs w:val="24"/>
          <w:lang w:bidi="en-US"/>
        </w:rPr>
        <w:t>“</w:t>
      </w:r>
      <w:proofErr w:type="spellStart"/>
      <w:r w:rsidRPr="00155BB3">
        <w:rPr>
          <w:rStyle w:val="23"/>
          <w:rFonts w:eastAsiaTheme="minorHAnsi"/>
          <w:sz w:val="24"/>
          <w:szCs w:val="24"/>
          <w:lang w:bidi="en-US"/>
        </w:rPr>
        <w:t>tabula</w:t>
      </w:r>
      <w:proofErr w:type="spellEnd"/>
      <w:r w:rsidRPr="00155BB3">
        <w:rPr>
          <w:rStyle w:val="23"/>
          <w:rFonts w:eastAsiaTheme="minorHAnsi"/>
          <w:sz w:val="24"/>
          <w:szCs w:val="24"/>
          <w:lang w:bidi="en-US"/>
        </w:rPr>
        <w:t xml:space="preserve"> </w:t>
      </w:r>
      <w:proofErr w:type="spellStart"/>
      <w:r w:rsidRPr="00155BB3">
        <w:rPr>
          <w:rStyle w:val="23"/>
          <w:rFonts w:eastAsiaTheme="minorHAnsi"/>
          <w:sz w:val="24"/>
          <w:szCs w:val="24"/>
          <w:lang w:bidi="en-US"/>
        </w:rPr>
        <w:t>raza</w:t>
      </w:r>
      <w:proofErr w:type="spellEnd"/>
      <w:r w:rsidRPr="00155BB3">
        <w:rPr>
          <w:rStyle w:val="23"/>
          <w:rFonts w:eastAsiaTheme="minorHAnsi"/>
          <w:sz w:val="24"/>
          <w:szCs w:val="24"/>
          <w:lang w:bidi="en-US"/>
        </w:rPr>
        <w:t xml:space="preserve">”, </w:t>
      </w: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асоціювання та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рефлексування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за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Дж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. Локком.</w:t>
      </w: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Тема 2. Адаптивна поведінка. Психофізіологічна проблема</w:t>
      </w:r>
    </w:p>
    <w:p w:rsidR="0016024D" w:rsidRPr="00155BB3" w:rsidRDefault="0016024D" w:rsidP="0016024D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Значення еволюційного вчення Ч. Дарвіна для становлення наукової психології. Рефлекторне кільце. Інстинкт. Переваги та недоліки інстинктивних форм поведінки.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Научіння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. Навичка. Переваги та недоліки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научіння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Научіння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методом спроб і помилок.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Научіння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методом пошуку і відбору. Інтелектуальна поведінка. Підготовча фаза в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інітелектуальній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поведінці тварин. Особливості досягнення рішення при інтелектуальній поведінці тварин.</w:t>
      </w:r>
    </w:p>
    <w:p w:rsidR="0016024D" w:rsidRPr="00155BB3" w:rsidRDefault="0016024D" w:rsidP="0016024D">
      <w:pPr>
        <w:pStyle w:val="a4"/>
        <w:tabs>
          <w:tab w:val="clear" w:pos="4677"/>
          <w:tab w:val="clear" w:pos="9355"/>
        </w:tabs>
        <w:jc w:val="both"/>
        <w:rPr>
          <w:lang w:val="uk-UA"/>
        </w:rPr>
      </w:pP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Тема 3. Увага</w:t>
      </w:r>
    </w:p>
    <w:p w:rsidR="0016024D" w:rsidRPr="00155BB3" w:rsidRDefault="0016024D" w:rsidP="0016024D">
      <w:pPr>
        <w:pStyle w:val="22"/>
        <w:shd w:val="clear" w:color="auto" w:fill="auto"/>
        <w:spacing w:before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Увага. Уважність. Функції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уваги:спрямування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, зосередження, стимуляція, контроль. Види уваги: невимушена (мимовільна), вимушена (довільна), після довільна. Властивості уваги: концентрація (степінь зосередження), об’єм (обсяг), розподіл, переключення, сталість, коливання.</w:t>
      </w: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Тема 4. Відчуття</w:t>
      </w:r>
    </w:p>
    <w:p w:rsidR="0016024D" w:rsidRPr="00155BB3" w:rsidRDefault="0016024D" w:rsidP="0016024D">
      <w:pPr>
        <w:pStyle w:val="22"/>
        <w:shd w:val="clear" w:color="auto" w:fill="auto"/>
        <w:spacing w:before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Рецепція. Рецептор. Рецептивні клітини. Подразник. Подразнення. Специфічна подразливість рецепторів. Аналізатор. Сенсорні клітини. Сенсорне ядро. Спеціалізація сенсорних та рецептивних клітин. Перекодування в аналізаторі. Модальність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відчуттів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. Синестезія. Емоційні тони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відчуттів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. Класифікація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відчуттів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Екстероцептивні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(контактні і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дистантні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),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інтероцептивіні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(органічні і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пропріоцептивні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) відчуття. Сила подразника та інтенсивність відчуття. Пороги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відчуттів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. Чутливість рецептора. Закон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Бугера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-Вебера. Закон Вебера-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Фехнера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. Адаптація органів чуття. Сенсибілізація. Прості, основні, складні, чисті, змішані відчуття.</w:t>
      </w: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Тема 5. Сприймання</w:t>
      </w:r>
    </w:p>
    <w:p w:rsidR="0016024D" w:rsidRPr="00155BB3" w:rsidRDefault="0016024D" w:rsidP="0016024D">
      <w:pPr>
        <w:pStyle w:val="22"/>
        <w:shd w:val="clear" w:color="auto" w:fill="auto"/>
        <w:tabs>
          <w:tab w:val="left" w:pos="2389"/>
        </w:tabs>
        <w:spacing w:before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Перцепція. Предметність (об’ємність) сприймання. Фактори предметності сприймання: перспективне скорочення, суміщення, перекривання (накладання), розподіл світла й тіней, відблиски і контрасти, повітряна перспектива, руховий паралакс. Структурність сприймання. Фактори структурності сприймання: контрасти/перепади світла й тіней і забарвлень, близькість/щільність, гомогенність/однорідність, подібність елементів, неперервність, плавність, завершеність, простота, симетричність, врівноваженість,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прегнантність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Атрибутивність сприймання: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Перцептивні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властивості: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транспонованість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,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градуйованість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, варіативність, інваріантність. Цілісність сприймання. Сенсорні спотворення. Константність сприймання. Експерименти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Йоганссона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і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Еймза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. Сенсорні втрати. Конструктивність сприймання. Модальні й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амодальні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доповнення. Експерименти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Ітельсона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. Сенсорні шуми. Вибірковість сприймання. Фактори вибірковості сприймання.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Перцептивна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модель. Оптичні ілюзії.</w:t>
      </w: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Тема 6. Уява</w:t>
      </w:r>
    </w:p>
    <w:p w:rsidR="0016024D" w:rsidRPr="00155BB3" w:rsidRDefault="0016024D" w:rsidP="0016024D">
      <w:pPr>
        <w:pStyle w:val="22"/>
        <w:shd w:val="clear" w:color="auto" w:fill="auto"/>
        <w:spacing w:before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Уява і уявлення. Послідовні та ейдетичні образи. Галюцинації. Сновидіння. Одиничні та узагальнені образи уяви. Репродуктивна і творча уява. Фантазія. Фактори уявлення: асоціації, вербальні команди, потреби, емоційні переживання. Закон подвійного вияву </w:t>
      </w: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lastRenderedPageBreak/>
        <w:t xml:space="preserve">почуттів (за Л. Виготським). Теорії уяви: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асоціаністська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; сумації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перцептів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; реконструкції сприймання. Експерименти з побудови образів уяви В. Зінченка та Л.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Венгера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.</w:t>
      </w: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Тема 7. Інтелект. Мислення</w:t>
      </w:r>
    </w:p>
    <w:p w:rsidR="0016024D" w:rsidRPr="00155BB3" w:rsidRDefault="0016024D" w:rsidP="0016024D">
      <w:pPr>
        <w:pStyle w:val="22"/>
        <w:shd w:val="clear" w:color="auto" w:fill="auto"/>
        <w:spacing w:before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Загальна психологічна характеристика інтелекту та мислення.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Перцептивна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модель.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Кінестезична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модель.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Сенсомоторна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схема. Наочно-дійове мислення.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Сенсо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-моторний інтелект. Наочно-образне мислення. Мова як система понятійних знань. Значення слова як елемент (одиниця) єдності мислення і мовлення (за Л. Виготським).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Домовленнєва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фаза розвитку мислення і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домисленнєва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фаза розвитку мовлення дитини. Асоціативно- комплексні узагальнення. Трансдукція (за В.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Штерном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).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Псевдопоняття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та егоцентричне мовлення дитини. Емпіричне мислення. Емпіричне поняття.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Мисленнєві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операції: аналіз і синтез, порівняння, абстрагування, узагальнення, означення. Теоретичне мислення. Інсайт.</w:t>
      </w: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Тема 8. Пам’ять</w:t>
      </w:r>
    </w:p>
    <w:p w:rsidR="0016024D" w:rsidRPr="00155BB3" w:rsidRDefault="0016024D" w:rsidP="0016024D">
      <w:pPr>
        <w:pStyle w:val="22"/>
        <w:shd w:val="clear" w:color="auto" w:fill="auto"/>
        <w:spacing w:before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Види пам’яті: Оперативна. Короткотривала. Довготривала. Рухова. Емоційна. Образна. Вербально-логічна. Мимовільна. Довільна.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Мнемічні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процеси: запам’ятовування, збереження, відтворення, забування.</w:t>
      </w: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Тема 9. Емоційні процеси і стани</w:t>
      </w:r>
    </w:p>
    <w:p w:rsidR="0016024D" w:rsidRPr="00155BB3" w:rsidRDefault="0016024D" w:rsidP="0016024D">
      <w:pPr>
        <w:pStyle w:val="22"/>
        <w:shd w:val="clear" w:color="auto" w:fill="auto"/>
        <w:spacing w:before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Емоції. Види емоцій. Афект. Настрій. Емоційна складова стресу. Вегетативні зміни в процесі емоційних переживань. Зовнішні (експресивні) вияви емоційних переживань. Почуття: Вищі почуття: моральні, релігійні, патріотичні (почуття етнічної ідентичності), Почуття ненависті, заздрощі, ревнощі. Негативно забарвлені емоційні переживання і психосоматичні захворювання.</w:t>
      </w: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Тема 10. Блочний підхід до психології особистості</w:t>
      </w:r>
    </w:p>
    <w:p w:rsidR="0016024D" w:rsidRPr="00155BB3" w:rsidRDefault="0016024D" w:rsidP="0016024D">
      <w:pPr>
        <w:pStyle w:val="22"/>
        <w:shd w:val="clear" w:color="auto" w:fill="auto"/>
        <w:spacing w:before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Актуальність психологічної проблематики особистості в сучасних умовах розвитку людства. Біологічна природа людини. Соціальна природа людини. Знання, уміння, навички та спрямованість (світогляд, переконання, ціннісні орієнтації, віра, диспозиції) о особистості. Характеристика понять: людина, особистість, індивід, особа, індивідуум, індивідуальність, суб’єкт. Представники роду </w:t>
      </w:r>
      <w:proofErr w:type="spellStart"/>
      <w:r w:rsidRPr="00155BB3">
        <w:rPr>
          <w:rStyle w:val="23"/>
          <w:rFonts w:eastAsiaTheme="minorHAnsi"/>
          <w:sz w:val="24"/>
          <w:szCs w:val="24"/>
          <w:lang w:bidi="en-US"/>
        </w:rPr>
        <w:t>Homo</w:t>
      </w:r>
      <w:proofErr w:type="spellEnd"/>
      <w:r w:rsidRPr="00155BB3">
        <w:rPr>
          <w:rStyle w:val="23"/>
          <w:rFonts w:eastAsiaTheme="minorHAnsi"/>
          <w:sz w:val="24"/>
          <w:szCs w:val="24"/>
          <w:lang w:bidi="en-US"/>
        </w:rPr>
        <w:t xml:space="preserve"> </w:t>
      </w:r>
      <w:proofErr w:type="spellStart"/>
      <w:r w:rsidRPr="00155BB3">
        <w:rPr>
          <w:rStyle w:val="23"/>
          <w:rFonts w:eastAsiaTheme="minorHAnsi"/>
          <w:sz w:val="24"/>
          <w:szCs w:val="24"/>
          <w:lang w:bidi="en-US"/>
        </w:rPr>
        <w:t>sapiens</w:t>
      </w:r>
      <w:proofErr w:type="spellEnd"/>
      <w:r w:rsidRPr="00155BB3">
        <w:rPr>
          <w:rStyle w:val="23"/>
          <w:rFonts w:eastAsiaTheme="minorHAnsi"/>
          <w:sz w:val="24"/>
          <w:szCs w:val="24"/>
          <w:lang w:bidi="en-US"/>
        </w:rPr>
        <w:t>,</w:t>
      </w:r>
      <w:r w:rsidRPr="00155BB3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які не є особистостями.</w:t>
      </w: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Тема 11. Задатки і здібності особистості</w:t>
      </w:r>
    </w:p>
    <w:p w:rsidR="0016024D" w:rsidRPr="00155BB3" w:rsidRDefault="0016024D" w:rsidP="0016024D">
      <w:pPr>
        <w:pStyle w:val="22"/>
        <w:shd w:val="clear" w:color="auto" w:fill="auto"/>
        <w:tabs>
          <w:tab w:val="left" w:pos="4549"/>
        </w:tabs>
        <w:spacing w:before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Задатки особистості. </w:t>
      </w:r>
      <w:r w:rsidRPr="00155BB3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IQ. </w:t>
      </w: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Тести інтелекту. Якісна і кількісна характеристика здібностей особистості. Обдарованість. Талант. Майстерність. Умови і фактори розвитку та реалізації здібностей, таланту, майстерності.</w:t>
      </w: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Тема 12. Темперамент особистості</w:t>
      </w:r>
    </w:p>
    <w:p w:rsidR="0016024D" w:rsidRPr="00155BB3" w:rsidRDefault="0016024D" w:rsidP="0016024D">
      <w:pPr>
        <w:pStyle w:val="22"/>
        <w:shd w:val="clear" w:color="auto" w:fill="auto"/>
        <w:spacing w:before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З історії становлення вчення про темперамент. Психологічні властивості темпераменту: сенситивність, реактивність, активність, співвідношення реактивності та активності, темп реакцій, пластичність-ригідність, екстраверсія, інтроверсія,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амбаверсія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, емотивність. Вплив властивостей темпераменту суб’єкта на його діяльність.</w:t>
      </w: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</w:p>
    <w:p w:rsidR="0016024D" w:rsidRPr="00155BB3" w:rsidRDefault="0016024D" w:rsidP="0016024D">
      <w:pPr>
        <w:pStyle w:val="2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Тема 13. Конституційно-антропометричний підхід до психології особистості</w:t>
      </w:r>
    </w:p>
    <w:p w:rsidR="0016024D" w:rsidRPr="00155BB3" w:rsidRDefault="0016024D" w:rsidP="0016024D">
      <w:pPr>
        <w:pStyle w:val="22"/>
        <w:shd w:val="clear" w:color="auto" w:fill="auto"/>
        <w:tabs>
          <w:tab w:val="left" w:pos="5298"/>
          <w:tab w:val="left" w:pos="6474"/>
          <w:tab w:val="left" w:pos="8353"/>
        </w:tabs>
        <w:spacing w:before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Хіромантія, дерматогліфіка,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фізіогноміка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. Конституційно - антропометрична концепція Е.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Кречмера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. Генетичні радикали «шизо-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цикло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». Основні прояви шизофренії та маніакально-депресивного психозу. Конституційно-антропометричні та психічні властивості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циклотиміка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/циклоїда та види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циклотиміків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/циклоїді за Е.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Кречмером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. Конституційно-антропометричні та психічні властивості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шизотиміка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/шизоїда та різновиди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шизотиміків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/шизоїдів за Е.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Кречмером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. Конституційно - антропометрична концепція У.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lastRenderedPageBreak/>
        <w:t>Шелдона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. Типи конституції і темпераменту за У. 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Шелдоном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. Основні прояви епілепсії.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Епілептоїдний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характер за П. 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Ганнушкіним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: «Ядерний злочинець» та головний чинник геніальності за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Ч.Ломброзо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. Вплив гормонів залоз внутрішньої секреції на психіку та будову тіла людини.</w:t>
      </w:r>
    </w:p>
    <w:p w:rsidR="0016024D" w:rsidRPr="00155BB3" w:rsidRDefault="0016024D" w:rsidP="0016024D">
      <w:pPr>
        <w:pStyle w:val="22"/>
        <w:shd w:val="clear" w:color="auto" w:fill="auto"/>
        <w:tabs>
          <w:tab w:val="left" w:pos="5298"/>
          <w:tab w:val="left" w:pos="6474"/>
          <w:tab w:val="left" w:pos="8353"/>
        </w:tabs>
        <w:spacing w:before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16024D" w:rsidRPr="00155BB3" w:rsidRDefault="0016024D" w:rsidP="0016024D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Тема 14. Мотиваційно-динамічний підхід до особистості.</w:t>
      </w:r>
    </w:p>
    <w:p w:rsidR="0016024D" w:rsidRPr="00155BB3" w:rsidRDefault="0016024D" w:rsidP="0016024D">
      <w:pPr>
        <w:pStyle w:val="22"/>
        <w:shd w:val="clear" w:color="auto" w:fill="auto"/>
        <w:spacing w:before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Психоаналіз З. 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Фройда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. Теорія психічного З. 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Фройда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. Механізми психологічного захисту. Стадії психічного розвитку за З. 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Фройдом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. Теорія об’єктних стосунків (М. 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Кляйн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,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Фейрнберн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). Теорія психічного Г.К. Юнга. Аналітична психологія. Типи особистості за К.Г. 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Юнгом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 та А. 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Аугустінавічюте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.</w:t>
      </w:r>
    </w:p>
    <w:p w:rsidR="0016024D" w:rsidRPr="00155BB3" w:rsidRDefault="0016024D" w:rsidP="0016024D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</w:p>
    <w:p w:rsidR="0016024D" w:rsidRPr="00155BB3" w:rsidRDefault="0016024D" w:rsidP="0016024D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Тема 15. Характер особистості</w:t>
      </w:r>
    </w:p>
    <w:p w:rsidR="0016024D" w:rsidRPr="00155BB3" w:rsidRDefault="0016024D" w:rsidP="0016024D">
      <w:pPr>
        <w:pStyle w:val="22"/>
        <w:shd w:val="clear" w:color="auto" w:fill="auto"/>
        <w:spacing w:before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З історії тлумачень характеру. Основні функціональні структури характеру особистості. Воля в структурі характеру. Симптомокомплекси характеру. Я-концепція як базова структура характеру особистості. Два напрями формування Я-концепції. Я-реальне. Я-ідеальне. Я-ідеалізоване. Рівень домагань. Успішність. Самооцінка. Формула В. </w:t>
      </w:r>
      <w:proofErr w:type="spellStart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Джемса</w:t>
      </w:r>
      <w:proofErr w:type="spellEnd"/>
      <w:r w:rsidRPr="00155BB3">
        <w:rPr>
          <w:rFonts w:ascii="Times New Roman" w:hAnsi="Times New Roman" w:cs="Times New Roman"/>
          <w:color w:val="000000"/>
          <w:sz w:val="24"/>
          <w:szCs w:val="24"/>
          <w:lang w:bidi="uk-UA"/>
        </w:rPr>
        <w:t>.</w:t>
      </w:r>
    </w:p>
    <w:p w:rsidR="005F195C" w:rsidRDefault="00C46B57"/>
    <w:p w:rsidR="00FB2BC0" w:rsidRDefault="00FB2BC0"/>
    <w:p w:rsidR="00FB2BC0" w:rsidRDefault="00FB2BC0"/>
    <w:p w:rsidR="00FB2BC0" w:rsidRDefault="00FB2BC0"/>
    <w:sectPr w:rsidR="00FB2BC0" w:rsidSect="00FB2BC0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351"/>
    <w:multiLevelType w:val="hybridMultilevel"/>
    <w:tmpl w:val="2E3AE40A"/>
    <w:lvl w:ilvl="0" w:tplc="29C26D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9407C"/>
    <w:multiLevelType w:val="hybridMultilevel"/>
    <w:tmpl w:val="2E3AE40A"/>
    <w:lvl w:ilvl="0" w:tplc="29C26D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216"/>
    <w:multiLevelType w:val="hybridMultilevel"/>
    <w:tmpl w:val="2E3AE40A"/>
    <w:lvl w:ilvl="0" w:tplc="29C26D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0EDA"/>
    <w:multiLevelType w:val="hybridMultilevel"/>
    <w:tmpl w:val="2E3AE40A"/>
    <w:lvl w:ilvl="0" w:tplc="29C26D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44B71"/>
    <w:multiLevelType w:val="hybridMultilevel"/>
    <w:tmpl w:val="C396F80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3E0F72"/>
    <w:multiLevelType w:val="hybridMultilevel"/>
    <w:tmpl w:val="2E3AE40A"/>
    <w:lvl w:ilvl="0" w:tplc="29C26D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012FC"/>
    <w:multiLevelType w:val="hybridMultilevel"/>
    <w:tmpl w:val="2E3AE40A"/>
    <w:lvl w:ilvl="0" w:tplc="29C26D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F1A1A"/>
    <w:multiLevelType w:val="hybridMultilevel"/>
    <w:tmpl w:val="2E3AE40A"/>
    <w:lvl w:ilvl="0" w:tplc="29C26D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B7DE7"/>
    <w:multiLevelType w:val="hybridMultilevel"/>
    <w:tmpl w:val="2E3AE40A"/>
    <w:lvl w:ilvl="0" w:tplc="29C26D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47DDA"/>
    <w:multiLevelType w:val="hybridMultilevel"/>
    <w:tmpl w:val="64FC78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A25E5"/>
    <w:multiLevelType w:val="hybridMultilevel"/>
    <w:tmpl w:val="2E3AE40A"/>
    <w:lvl w:ilvl="0" w:tplc="29C26D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C3EDC"/>
    <w:multiLevelType w:val="hybridMultilevel"/>
    <w:tmpl w:val="2E3AE40A"/>
    <w:lvl w:ilvl="0" w:tplc="29C26D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A113E"/>
    <w:multiLevelType w:val="hybridMultilevel"/>
    <w:tmpl w:val="5B868FFE"/>
    <w:lvl w:ilvl="0" w:tplc="29C26D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A34D0"/>
    <w:multiLevelType w:val="hybridMultilevel"/>
    <w:tmpl w:val="CE32EC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34E60"/>
    <w:multiLevelType w:val="hybridMultilevel"/>
    <w:tmpl w:val="2E3AE40A"/>
    <w:lvl w:ilvl="0" w:tplc="29C26D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B4466"/>
    <w:multiLevelType w:val="hybridMultilevel"/>
    <w:tmpl w:val="2E3AE40A"/>
    <w:lvl w:ilvl="0" w:tplc="29C26D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6578B"/>
    <w:multiLevelType w:val="hybridMultilevel"/>
    <w:tmpl w:val="C380C02C"/>
    <w:lvl w:ilvl="0" w:tplc="25987EF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444444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5652C"/>
    <w:multiLevelType w:val="hybridMultilevel"/>
    <w:tmpl w:val="2E3AE40A"/>
    <w:lvl w:ilvl="0" w:tplc="29C26D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F46F8"/>
    <w:multiLevelType w:val="hybridMultilevel"/>
    <w:tmpl w:val="92229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2"/>
  </w:num>
  <w:num w:numId="5">
    <w:abstractNumId w:val="11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 w:numId="12">
    <w:abstractNumId w:val="15"/>
  </w:num>
  <w:num w:numId="13">
    <w:abstractNumId w:val="10"/>
  </w:num>
  <w:num w:numId="14">
    <w:abstractNumId w:val="14"/>
  </w:num>
  <w:num w:numId="15">
    <w:abstractNumId w:val="1"/>
  </w:num>
  <w:num w:numId="16">
    <w:abstractNumId w:val="12"/>
  </w:num>
  <w:num w:numId="17">
    <w:abstractNumId w:val="16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C0"/>
    <w:rsid w:val="0016024D"/>
    <w:rsid w:val="00250865"/>
    <w:rsid w:val="00332DD6"/>
    <w:rsid w:val="0056464F"/>
    <w:rsid w:val="00923796"/>
    <w:rsid w:val="00A61205"/>
    <w:rsid w:val="00B86806"/>
    <w:rsid w:val="00BE4E8A"/>
    <w:rsid w:val="00C46B57"/>
    <w:rsid w:val="00D36F36"/>
    <w:rsid w:val="00FB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5D9FB9"/>
  <w15:chartTrackingRefBased/>
  <w15:docId w15:val="{E4520DF8-DE3B-4960-BD60-158E2B6C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BC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64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2">
    <w:name w:val="Заголовок №2_"/>
    <w:basedOn w:val="a0"/>
    <w:link w:val="20"/>
    <w:rsid w:val="0056464F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56464F"/>
    <w:pPr>
      <w:widowControl w:val="0"/>
      <w:shd w:val="clear" w:color="auto" w:fill="FFFFFF"/>
      <w:suppressAutoHyphens w:val="0"/>
      <w:spacing w:line="317" w:lineRule="exact"/>
      <w:ind w:hanging="140"/>
      <w:jc w:val="center"/>
      <w:outlineLvl w:val="1"/>
    </w:pPr>
    <w:rPr>
      <w:rFonts w:asciiTheme="minorHAnsi" w:eastAsiaTheme="minorHAnsi" w:hAnsiTheme="minorHAnsi" w:cstheme="minorBidi"/>
      <w:b/>
      <w:bCs/>
      <w:szCs w:val="28"/>
      <w:lang w:val="uk-UA" w:eastAsia="en-US"/>
    </w:rPr>
  </w:style>
  <w:style w:type="paragraph" w:customStyle="1" w:styleId="p1">
    <w:name w:val="p1"/>
    <w:basedOn w:val="a"/>
    <w:rsid w:val="0056464F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16024D"/>
    <w:pPr>
      <w:tabs>
        <w:tab w:val="center" w:pos="4677"/>
        <w:tab w:val="right" w:pos="9355"/>
      </w:tabs>
      <w:suppressAutoHyphens w:val="0"/>
    </w:pPr>
    <w:rPr>
      <w:sz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1602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ий текст (2)_"/>
    <w:basedOn w:val="a0"/>
    <w:link w:val="22"/>
    <w:rsid w:val="0016024D"/>
    <w:rPr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16024D"/>
    <w:pPr>
      <w:widowControl w:val="0"/>
      <w:shd w:val="clear" w:color="auto" w:fill="FFFFFF"/>
      <w:suppressAutoHyphens w:val="0"/>
      <w:spacing w:before="60" w:line="638" w:lineRule="exact"/>
      <w:ind w:hanging="400"/>
      <w:jc w:val="both"/>
    </w:pPr>
    <w:rPr>
      <w:rFonts w:asciiTheme="minorHAnsi" w:eastAsiaTheme="minorHAnsi" w:hAnsiTheme="minorHAnsi" w:cstheme="minorBidi"/>
      <w:szCs w:val="28"/>
      <w:lang w:val="uk-UA" w:eastAsia="en-US"/>
    </w:rPr>
  </w:style>
  <w:style w:type="character" w:customStyle="1" w:styleId="3">
    <w:name w:val="Основний текст (3)_"/>
    <w:basedOn w:val="a0"/>
    <w:link w:val="30"/>
    <w:rsid w:val="0016024D"/>
    <w:rPr>
      <w:b/>
      <w:bCs/>
      <w:sz w:val="28"/>
      <w:szCs w:val="28"/>
      <w:shd w:val="clear" w:color="auto" w:fill="FFFFFF"/>
    </w:rPr>
  </w:style>
  <w:style w:type="character" w:customStyle="1" w:styleId="23">
    <w:name w:val="Основний текст (2) + Напівжирний;Курсив"/>
    <w:basedOn w:val="21"/>
    <w:rsid w:val="001602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paragraph" w:customStyle="1" w:styleId="30">
    <w:name w:val="Основний текст (3)"/>
    <w:basedOn w:val="a"/>
    <w:link w:val="3"/>
    <w:rsid w:val="0016024D"/>
    <w:pPr>
      <w:widowControl w:val="0"/>
      <w:shd w:val="clear" w:color="auto" w:fill="FFFFFF"/>
      <w:suppressAutoHyphens w:val="0"/>
      <w:spacing w:after="300" w:line="326" w:lineRule="exact"/>
      <w:jc w:val="center"/>
    </w:pPr>
    <w:rPr>
      <w:rFonts w:asciiTheme="minorHAnsi" w:eastAsiaTheme="minorHAnsi" w:hAnsiTheme="minorHAnsi" w:cstheme="minorBidi"/>
      <w:b/>
      <w:bCs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4899</Words>
  <Characters>2793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MVR_User</dc:creator>
  <cp:keywords/>
  <dc:description/>
  <cp:lastModifiedBy>MVR_User</cp:lastModifiedBy>
  <cp:revision>3</cp:revision>
  <dcterms:created xsi:type="dcterms:W3CDTF">2021-01-20T01:18:00Z</dcterms:created>
  <dcterms:modified xsi:type="dcterms:W3CDTF">2021-01-20T01:19:00Z</dcterms:modified>
</cp:coreProperties>
</file>