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055B2F" w:rsidRPr="00F32856" w:rsidRDefault="00055B2F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055B2F" w:rsidRPr="00F32856" w:rsidRDefault="00055B2F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055B2F" w:rsidRPr="00F32856" w:rsidRDefault="00055B2F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2F" w:rsidRPr="00F32856" w:rsidRDefault="00055B2F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055B2F" w:rsidRPr="00F32856" w:rsidRDefault="00055B2F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055B2F" w:rsidRPr="00F32856" w:rsidRDefault="00055B2F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055B2F" w:rsidRPr="00F32856" w:rsidRDefault="00055B2F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2F" w:rsidRPr="00F32856" w:rsidRDefault="00055B2F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:rsidR="00055B2F" w:rsidRPr="00F32856" w:rsidRDefault="00055B2F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055B2F" w:rsidRPr="00F32856" w:rsidRDefault="00055B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2F" w:rsidRPr="00F32856" w:rsidRDefault="00055B2F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2F" w:rsidRPr="00F32856" w:rsidRDefault="00055B2F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055B2F" w:rsidRPr="00F32856" w:rsidRDefault="00055B2F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055B2F" w:rsidRPr="003749F2" w:rsidRDefault="00055B2F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055B2F" w:rsidRPr="00F32856" w:rsidRDefault="00055B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055B2F" w:rsidRPr="00F32856" w:rsidRDefault="00055B2F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055B2F" w:rsidRPr="00F32856" w:rsidRDefault="00055B2F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055B2F" w:rsidRPr="00F32856" w:rsidRDefault="00055B2F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055B2F" w:rsidRPr="00F32856" w:rsidRDefault="00055B2F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055B2F" w:rsidRPr="00F32856" w:rsidRDefault="00055B2F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055B2F" w:rsidRPr="00F32856" w:rsidRDefault="00055B2F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055B2F" w:rsidRPr="00F32856" w:rsidRDefault="00055B2F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55B2F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055B2F" w:rsidRPr="00F32856" w:rsidRDefault="00055B2F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055B2F" w:rsidRPr="00F32856" w:rsidRDefault="00055B2F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>(дошкільної освіти, загальної середньої освіти, позашкільної освіти, фахової пер</w:t>
      </w:r>
      <w:bookmarkStart w:id="1" w:name="_GoBack"/>
      <w:bookmarkEnd w:id="1"/>
      <w:r w:rsidRPr="00F32856">
        <w:rPr>
          <w:rFonts w:ascii="Times New Roman" w:hAnsi="Times New Roman" w:cs="Times New Roman"/>
          <w:i/>
        </w:rPr>
        <w:t xml:space="preserve">едвищої освіти, </w:t>
      </w:r>
    </w:p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055B2F" w:rsidRPr="00F32856" w:rsidRDefault="00055B2F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055B2F" w:rsidRPr="00F32856" w:rsidRDefault="00055B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055B2F" w:rsidRPr="00B00665" w:rsidRDefault="00055B2F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Мідак Лілія Ярославівна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 тел.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0663486128,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liliia.midak@pnu.edu.ua</w:t>
      </w:r>
    </w:p>
    <w:p w:rsidR="00055B2F" w:rsidRPr="00B00665" w:rsidRDefault="00055B2F" w:rsidP="0055271E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Кузишин Ольга Василівна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освіти, тел.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0957626034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olha.kuzyshyn@pnu.edu.ua</w:t>
      </w:r>
    </w:p>
    <w:p w:rsidR="00055B2F" w:rsidRPr="00B00665" w:rsidRDefault="00055B2F" w:rsidP="007F1097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Базюк Лілія Володимирівна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тел.</w:t>
      </w:r>
      <w:r w:rsidRPr="00B00665">
        <w:rPr>
          <w:i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0667336270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iliia.baziuk@pnu.edu.ua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F32856" w:rsidRDefault="00055B2F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55271E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55271E">
        <w:rPr>
          <w:rFonts w:ascii="Times New Roman" w:hAnsi="Times New Roman" w:cs="Times New Roman"/>
          <w:b/>
          <w:i/>
          <w:sz w:val="26"/>
          <w:szCs w:val="26"/>
          <w:u w:val="single"/>
        </w:rPr>
        <w:t>Хімічний експеримент та сучасні освітні технології</w:t>
      </w:r>
      <w:r w:rsidRPr="0055271E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691BCF" w:rsidRDefault="00055B2F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вдосконалення професiйної майстерностi на основi модернiзацiї змiсту, форм i методiв навчання, впровадження iнновацiйних технологiй у навчальний процес.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0F0640" w:rsidRDefault="00055B2F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методичні рекомендації та розглянуто основні інструменти для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проведення хімічного експерименту піл час практичних робіт та лабораторних дослідів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на уроках хімії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показано ефективність проведення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хімічного есперименту з використанням ІКТ;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обґрунтовано сучасні підходи до використання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віртуальних хімічних лабораторій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; розглянуто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основні інструменти доповненої та віртуальної реальності, а також рекомендації для їх використання під час проведення хімічного експерименту в умовах офлайн- та онлайн-навчання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055B2F" w:rsidRPr="003749F2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055B2F" w:rsidRPr="000F0640" w:rsidRDefault="00055B2F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055B2F" w:rsidRPr="000F0640" w:rsidRDefault="00055B2F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:rsidR="00055B2F" w:rsidRPr="000F0640" w:rsidRDefault="00055B2F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055B2F" w:rsidRPr="000F0640" w:rsidRDefault="00055B2F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055B2F" w:rsidRPr="000F0640" w:rsidRDefault="00055B2F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055B2F" w:rsidRPr="000F0640" w:rsidRDefault="00055B2F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055B2F" w:rsidRPr="000F0640" w:rsidRDefault="00055B2F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055B2F" w:rsidRPr="000F0640" w:rsidRDefault="00055B2F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055B2F" w:rsidRPr="0055271E" w:rsidRDefault="00055B2F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055B2F" w:rsidRPr="0055271E" w:rsidRDefault="00055B2F" w:rsidP="0055271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5271E">
        <w:rPr>
          <w:rFonts w:ascii="Times New Roman" w:hAnsi="Times New Roman" w:cs="Times New Roman"/>
          <w:i/>
          <w:sz w:val="26"/>
          <w:szCs w:val="26"/>
          <w:u w:val="single"/>
        </w:rPr>
        <w:t>здоров’язбережувальна;</w:t>
      </w:r>
    </w:p>
    <w:p w:rsidR="00055B2F" w:rsidRPr="000F0640" w:rsidRDefault="00055B2F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:rsidR="00055B2F" w:rsidRPr="000F0640" w:rsidRDefault="00055B2F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055B2F" w:rsidRDefault="00055B2F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F32856" w:rsidRDefault="00055B2F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275"/>
        <w:gridCol w:w="825"/>
        <w:gridCol w:w="1245"/>
        <w:gridCol w:w="1080"/>
        <w:gridCol w:w="1070"/>
        <w:gridCol w:w="930"/>
      </w:tblGrid>
      <w:tr w:rsidR="00055B2F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55B2F" w:rsidRPr="00F32856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055B2F" w:rsidRPr="00F32856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55B2F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055B2F" w:rsidRPr="00F32856" w:rsidRDefault="00055B2F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055B2F" w:rsidRPr="00F32856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055B2F" w:rsidRPr="00F32856" w:rsidRDefault="00055B2F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055B2F" w:rsidRPr="00F32856" w:rsidRDefault="00055B2F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055B2F" w:rsidRPr="00F32856" w:rsidRDefault="00055B2F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055B2F" w:rsidRPr="00F32856" w:rsidRDefault="00055B2F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55B2F" w:rsidRPr="00F32856" w:rsidRDefault="00055B2F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055B2F" w:rsidRPr="00F32856" w:rsidRDefault="00055B2F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5B2F" w:rsidRPr="00F32856" w:rsidRDefault="00055B2F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055B2F" w:rsidRPr="00F32856" w:rsidRDefault="00055B2F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055B2F" w:rsidRPr="00F32856" w:rsidTr="007F1097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055B2F" w:rsidRPr="0055271E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71E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Модуль І.</w:t>
            </w:r>
            <w:r w:rsidRPr="005527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5271E">
              <w:rPr>
                <w:rFonts w:ascii="Times New Roman" w:hAnsi="Times New Roman" w:cs="Times New Roman"/>
                <w:sz w:val="26"/>
                <w:szCs w:val="26"/>
              </w:rPr>
              <w:t xml:space="preserve">. Демонстраційний хімічний експеримент під час проведення </w:t>
            </w:r>
            <w:r w:rsidRPr="005527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STE</w:t>
            </w:r>
            <w:r w:rsidRPr="0055271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527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Pr="0055271E">
              <w:rPr>
                <w:rFonts w:ascii="Times New Roman" w:hAnsi="Times New Roman" w:cs="Times New Roman"/>
                <w:sz w:val="26"/>
                <w:szCs w:val="26"/>
              </w:rPr>
              <w:t>-уроку.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055B2F" w:rsidRPr="003749F2" w:rsidRDefault="00055B2F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055B2F" w:rsidRPr="003749F2" w:rsidRDefault="00055B2F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55B2F" w:rsidRPr="00F32856" w:rsidTr="007F1097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055B2F" w:rsidRPr="0055271E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5271E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Модуль ІІ. </w:t>
            </w:r>
            <w:r w:rsidRPr="0055271E">
              <w:rPr>
                <w:rFonts w:ascii="Times New Roman" w:hAnsi="Times New Roman" w:cs="Times New Roman"/>
                <w:sz w:val="26"/>
                <w:szCs w:val="26"/>
              </w:rPr>
              <w:t>Практичні роботи з хімії: компетентнісний підхід.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055B2F" w:rsidRPr="003749F2" w:rsidRDefault="00055B2F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055B2F" w:rsidRPr="003749F2" w:rsidRDefault="00055B2F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55B2F" w:rsidRPr="00F32856" w:rsidTr="007F1097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055B2F" w:rsidRPr="0055271E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5271E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Модуль ІІІ. </w:t>
            </w:r>
            <w:r w:rsidRPr="0055271E">
              <w:rPr>
                <w:rFonts w:ascii="Times New Roman" w:hAnsi="Times New Roman" w:cs="Times New Roman"/>
                <w:sz w:val="26"/>
                <w:szCs w:val="26"/>
              </w:rPr>
              <w:t>Практичний модуль. Хімічний експеримент в умовах офлайн- та онлайн-навчання.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055B2F" w:rsidRPr="007F1097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55B2F" w:rsidRPr="003749F2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55B2F" w:rsidRPr="007F1097" w:rsidRDefault="00055B2F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5B2F" w:rsidRPr="003749F2" w:rsidRDefault="00055B2F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055B2F" w:rsidRPr="003749F2" w:rsidRDefault="00055B2F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055B2F" w:rsidRDefault="00055B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5B2F" w:rsidRDefault="00055B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055B2F" w:rsidRPr="000F0640" w:rsidRDefault="00055B2F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055B2F" w:rsidRPr="003749F2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055B2F" w:rsidRPr="00612356" w:rsidRDefault="00055B2F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розвивати стійку пізнавальну мотивацію в учнів;</w:t>
      </w:r>
    </w:p>
    <w:p w:rsidR="00055B2F" w:rsidRPr="00612356" w:rsidRDefault="00055B2F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навички пошукової активності та дослідницької діяльності у учнів, вміння вчитися протягом життя;</w:t>
      </w:r>
    </w:p>
    <w:p w:rsidR="00055B2F" w:rsidRPr="00612356" w:rsidRDefault="00055B2F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уроків хімії з використанням ІКТ;</w:t>
      </w:r>
    </w:p>
    <w:p w:rsidR="00055B2F" w:rsidRPr="00612356" w:rsidRDefault="00055B2F" w:rsidP="007C6986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уміти планувати та проводити безпечний хімічний експеримент на уроках хімії (під час проведення практичних робіт та лабораторних дослідів);</w:t>
      </w:r>
    </w:p>
    <w:p w:rsidR="00055B2F" w:rsidRPr="00612356" w:rsidRDefault="00055B2F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уміти використовувати віртуальні хімічні лабораторії у навчальному процесі;</w:t>
      </w:r>
    </w:p>
    <w:p w:rsidR="00055B2F" w:rsidRPr="00612356" w:rsidRDefault="00055B2F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використовувати інноваційні методики навчання та цифрові інструменти для створення сучасного інноваційного освітнього середовища;</w:t>
      </w:r>
    </w:p>
    <w:p w:rsidR="00055B2F" w:rsidRPr="00612356" w:rsidRDefault="00055B2F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612356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612356">
        <w:rPr>
          <w:rFonts w:ascii="Times New Roman" w:hAnsi="Times New Roman"/>
          <w:i/>
          <w:color w:val="002060"/>
          <w:sz w:val="26"/>
          <w:szCs w:val="26"/>
          <w:u w:val="single"/>
        </w:rPr>
        <w:t>.</w:t>
      </w: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Pr="002E7D3E" w:rsidRDefault="00055B2F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5B2F" w:rsidRPr="003749F2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055B2F" w:rsidRPr="000F0640" w:rsidRDefault="00055B2F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055B2F" w:rsidRPr="000F0640" w:rsidRDefault="00055B2F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055B2F" w:rsidRPr="000F0640" w:rsidRDefault="00055B2F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055B2F" w:rsidRPr="00326902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55B2F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055B2F" w:rsidRPr="002E7D3E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055B2F" w:rsidRPr="00F32856" w:rsidRDefault="00055B2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055B2F" w:rsidRDefault="00055B2F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055B2F" w:rsidRDefault="00055B2F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5B2F" w:rsidRPr="000F0640" w:rsidRDefault="00055B2F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Мідак Лілія Ярославівна</w:t>
      </w:r>
    </w:p>
    <w:p w:rsidR="00055B2F" w:rsidRPr="000F0640" w:rsidRDefault="00055B2F" w:rsidP="00612356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фізико-математични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Кузишин Ольга Василівна</w:t>
      </w:r>
    </w:p>
    <w:p w:rsidR="00055B2F" w:rsidRPr="000F0640" w:rsidRDefault="00055B2F" w:rsidP="007F109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Базюк Лілія Володимирівна</w:t>
      </w:r>
    </w:p>
    <w:p w:rsidR="00055B2F" w:rsidRPr="00F32856" w:rsidRDefault="00055B2F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55B2F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7C3"/>
    <w:rsid w:val="00055B2F"/>
    <w:rsid w:val="000867C3"/>
    <w:rsid w:val="000A7F79"/>
    <w:rsid w:val="000F0640"/>
    <w:rsid w:val="00142F75"/>
    <w:rsid w:val="001B2500"/>
    <w:rsid w:val="002241A9"/>
    <w:rsid w:val="00275E8A"/>
    <w:rsid w:val="00287A4E"/>
    <w:rsid w:val="002C7EF8"/>
    <w:rsid w:val="002E7D3E"/>
    <w:rsid w:val="00326902"/>
    <w:rsid w:val="00345FD4"/>
    <w:rsid w:val="003749F2"/>
    <w:rsid w:val="003B4A53"/>
    <w:rsid w:val="0045031F"/>
    <w:rsid w:val="004A0735"/>
    <w:rsid w:val="005172C9"/>
    <w:rsid w:val="0055271E"/>
    <w:rsid w:val="00612356"/>
    <w:rsid w:val="00691BCF"/>
    <w:rsid w:val="0074080B"/>
    <w:rsid w:val="007C6986"/>
    <w:rsid w:val="007F0483"/>
    <w:rsid w:val="007F1097"/>
    <w:rsid w:val="00A022E7"/>
    <w:rsid w:val="00A10F1C"/>
    <w:rsid w:val="00B00665"/>
    <w:rsid w:val="00B8513D"/>
    <w:rsid w:val="00B96999"/>
    <w:rsid w:val="00DB1242"/>
    <w:rsid w:val="00DB1F4A"/>
    <w:rsid w:val="00DB2A12"/>
    <w:rsid w:val="00DF1582"/>
    <w:rsid w:val="00E81811"/>
    <w:rsid w:val="00EC0245"/>
    <w:rsid w:val="00F16305"/>
    <w:rsid w:val="00F32856"/>
    <w:rsid w:val="00FE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15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15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158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F158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F15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F1582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F158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F1582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0F1C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10F1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3877</Words>
  <Characters>2211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WanderKory</cp:lastModifiedBy>
  <cp:revision>3</cp:revision>
  <dcterms:created xsi:type="dcterms:W3CDTF">2021-06-22T04:59:00Z</dcterms:created>
  <dcterms:modified xsi:type="dcterms:W3CDTF">2021-06-22T05:05:00Z</dcterms:modified>
</cp:coreProperties>
</file>