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D3" w:rsidRDefault="0028277A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5D19D3" w:rsidRDefault="002827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5D19D3" w:rsidRDefault="002827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5D19D3" w:rsidRDefault="005D19D3">
      <w:pPr>
        <w:jc w:val="center"/>
        <w:rPr>
          <w:b/>
          <w:sz w:val="28"/>
          <w:szCs w:val="28"/>
          <w:lang w:val="uk-UA"/>
        </w:rPr>
      </w:pPr>
    </w:p>
    <w:p w:rsidR="005D19D3" w:rsidRDefault="005D19D3">
      <w:pPr>
        <w:jc w:val="center"/>
        <w:rPr>
          <w:b/>
          <w:sz w:val="28"/>
          <w:szCs w:val="28"/>
          <w:lang w:val="uk-UA"/>
        </w:rPr>
      </w:pPr>
    </w:p>
    <w:p w:rsidR="005D19D3" w:rsidRDefault="005D19D3">
      <w:pPr>
        <w:jc w:val="center"/>
        <w:rPr>
          <w:b/>
          <w:sz w:val="28"/>
          <w:szCs w:val="28"/>
          <w:lang w:val="uk-UA"/>
        </w:rPr>
      </w:pPr>
    </w:p>
    <w:p w:rsidR="005D19D3" w:rsidRDefault="005D19D3">
      <w:pPr>
        <w:jc w:val="center"/>
        <w:rPr>
          <w:b/>
          <w:sz w:val="28"/>
          <w:szCs w:val="28"/>
          <w:lang w:val="uk-UA"/>
        </w:rPr>
      </w:pPr>
    </w:p>
    <w:p w:rsidR="005D19D3" w:rsidRDefault="0028277A">
      <w:pPr>
        <w:jc w:val="center"/>
      </w:pPr>
      <w:r>
        <w:rPr>
          <w:sz w:val="28"/>
          <w:szCs w:val="28"/>
          <w:lang w:val="uk-UA"/>
        </w:rPr>
        <w:t>Факультет/інститут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u w:val="single"/>
          <w:lang w:val="uk-UA"/>
        </w:rPr>
        <w:t>_Природничих наук__</w:t>
      </w:r>
    </w:p>
    <w:p w:rsidR="005D19D3" w:rsidRDefault="005D19D3">
      <w:pPr>
        <w:jc w:val="center"/>
        <w:rPr>
          <w:b/>
          <w:sz w:val="28"/>
          <w:szCs w:val="28"/>
          <w:lang w:val="uk-UA"/>
        </w:rPr>
      </w:pPr>
    </w:p>
    <w:p w:rsidR="005D19D3" w:rsidRPr="0028277A" w:rsidRDefault="0028277A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u w:val="single"/>
          <w:lang w:val="uk-UA"/>
        </w:rPr>
        <w:t>_біології та екології_</w:t>
      </w: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2827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5D19D3" w:rsidRDefault="005D19D3">
      <w:pPr>
        <w:jc w:val="center"/>
        <w:rPr>
          <w:b/>
          <w:sz w:val="28"/>
          <w:szCs w:val="28"/>
          <w:lang w:val="uk-UA"/>
        </w:rPr>
      </w:pPr>
    </w:p>
    <w:p w:rsidR="005D19D3" w:rsidRDefault="0028277A">
      <w:pPr>
        <w:jc w:val="center"/>
      </w:pPr>
      <w:r>
        <w:rPr>
          <w:b/>
          <w:sz w:val="28"/>
          <w:szCs w:val="28"/>
          <w:u w:val="single"/>
          <w:lang w:val="uk-UA"/>
        </w:rPr>
        <w:t>____Біологія людини__________</w:t>
      </w:r>
    </w:p>
    <w:p w:rsidR="005D19D3" w:rsidRDefault="005D19D3">
      <w:pPr>
        <w:jc w:val="center"/>
        <w:rPr>
          <w:b/>
          <w:sz w:val="28"/>
          <w:szCs w:val="28"/>
          <w:u w:val="single"/>
          <w:lang w:val="uk-UA"/>
        </w:rPr>
      </w:pPr>
    </w:p>
    <w:p w:rsidR="005D19D3" w:rsidRDefault="0028277A"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>
        <w:rPr>
          <w:sz w:val="28"/>
          <w:szCs w:val="28"/>
          <w:u w:val="single"/>
          <w:lang w:val="uk-UA"/>
        </w:rPr>
        <w:t>середня освіта (природничі науки)</w:t>
      </w: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28277A">
      <w:r>
        <w:rPr>
          <w:sz w:val="28"/>
          <w:szCs w:val="28"/>
          <w:lang w:val="uk-UA"/>
        </w:rPr>
        <w:t xml:space="preserve">                           Спеціальність </w:t>
      </w:r>
      <w:r>
        <w:rPr>
          <w:sz w:val="28"/>
          <w:szCs w:val="28"/>
          <w:u w:val="single"/>
          <w:lang w:val="uk-UA"/>
        </w:rPr>
        <w:t>014 середня освіта (природничі науки)</w:t>
      </w: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28277A">
      <w:r>
        <w:rPr>
          <w:sz w:val="28"/>
          <w:szCs w:val="28"/>
          <w:lang w:val="uk-UA"/>
        </w:rPr>
        <w:t xml:space="preserve">                           Галузь знань </w:t>
      </w:r>
      <w:r>
        <w:rPr>
          <w:sz w:val="28"/>
          <w:szCs w:val="28"/>
          <w:u w:val="single"/>
          <w:lang w:val="uk-UA"/>
        </w:rPr>
        <w:t>01 Освіта/Педагогіка</w:t>
      </w: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28277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на засіданні </w:t>
      </w:r>
      <w:r>
        <w:rPr>
          <w:sz w:val="28"/>
          <w:szCs w:val="28"/>
          <w:lang w:val="uk-UA"/>
        </w:rPr>
        <w:t>кафедри</w:t>
      </w:r>
    </w:p>
    <w:p w:rsidR="005D19D3" w:rsidRDefault="0028277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 2019 р.  </w:t>
      </w: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5D19D3">
      <w:pPr>
        <w:jc w:val="center"/>
        <w:rPr>
          <w:sz w:val="28"/>
          <w:szCs w:val="28"/>
          <w:lang w:val="uk-UA"/>
        </w:rPr>
      </w:pPr>
    </w:p>
    <w:p w:rsidR="005D19D3" w:rsidRDefault="0028277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5D19D3" w:rsidRDefault="005D19D3">
      <w:pPr>
        <w:jc w:val="center"/>
        <w:rPr>
          <w:b/>
          <w:sz w:val="28"/>
          <w:szCs w:val="28"/>
          <w:lang w:val="uk-UA"/>
        </w:rPr>
      </w:pPr>
    </w:p>
    <w:p w:rsidR="005D19D3" w:rsidRDefault="002827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5D19D3" w:rsidRDefault="005D19D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D19D3" w:rsidRDefault="005D19D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D19D3" w:rsidRDefault="0028277A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5D19D3" w:rsidRDefault="0028277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5D19D3" w:rsidRDefault="0028277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5D19D3" w:rsidRDefault="0028277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5D19D3" w:rsidRDefault="0028277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5D19D3" w:rsidRDefault="0028277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5D19D3" w:rsidRDefault="0028277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5D19D3" w:rsidRDefault="0028277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5D19D3" w:rsidRDefault="005D19D3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tbl>
      <w:tblPr>
        <w:tblStyle w:val="ac"/>
        <w:tblW w:w="9568" w:type="dxa"/>
        <w:tblLook w:val="04A0" w:firstRow="1" w:lastRow="0" w:firstColumn="1" w:lastColumn="0" w:noHBand="0" w:noVBand="1"/>
      </w:tblPr>
      <w:tblGrid>
        <w:gridCol w:w="1307"/>
        <w:gridCol w:w="878"/>
        <w:gridCol w:w="1082"/>
        <w:gridCol w:w="78"/>
        <w:gridCol w:w="2268"/>
        <w:gridCol w:w="321"/>
        <w:gridCol w:w="1212"/>
        <w:gridCol w:w="397"/>
        <w:gridCol w:w="675"/>
        <w:gridCol w:w="1350"/>
      </w:tblGrid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5D19D3">
        <w:tc>
          <w:tcPr>
            <w:tcW w:w="3367" w:type="dxa"/>
            <w:gridSpan w:val="4"/>
            <w:shd w:val="clear" w:color="auto" w:fill="auto"/>
          </w:tcPr>
          <w:p w:rsidR="005D19D3" w:rsidRDefault="0028277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201" w:type="dxa"/>
            <w:gridSpan w:val="6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Біологія людини</w:t>
            </w:r>
          </w:p>
        </w:tc>
      </w:tr>
      <w:tr w:rsidR="005D19D3">
        <w:tc>
          <w:tcPr>
            <w:tcW w:w="3367" w:type="dxa"/>
            <w:gridSpan w:val="4"/>
            <w:shd w:val="clear" w:color="auto" w:fill="auto"/>
          </w:tcPr>
          <w:p w:rsidR="005D19D3" w:rsidRDefault="0028277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201" w:type="dxa"/>
            <w:gridSpan w:val="6"/>
            <w:shd w:val="clear" w:color="auto" w:fill="auto"/>
          </w:tcPr>
          <w:p w:rsidR="005D19D3" w:rsidRDefault="0028277A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Cs w:val="24"/>
              </w:rPr>
              <w:t>Сімчук Андрій Павлович</w:t>
            </w:r>
          </w:p>
        </w:tc>
      </w:tr>
      <w:tr w:rsidR="005D19D3">
        <w:tc>
          <w:tcPr>
            <w:tcW w:w="3367" w:type="dxa"/>
            <w:gridSpan w:val="4"/>
            <w:shd w:val="clear" w:color="auto" w:fill="auto"/>
          </w:tcPr>
          <w:p w:rsidR="005D19D3" w:rsidRDefault="0028277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1" w:type="dxa"/>
            <w:gridSpan w:val="6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0684790207</w:t>
            </w:r>
          </w:p>
        </w:tc>
      </w:tr>
      <w:tr w:rsidR="005D19D3">
        <w:tc>
          <w:tcPr>
            <w:tcW w:w="3367" w:type="dxa"/>
            <w:gridSpan w:val="4"/>
            <w:shd w:val="clear" w:color="auto" w:fill="auto"/>
          </w:tcPr>
          <w:p w:rsidR="005D19D3" w:rsidRDefault="0028277A">
            <w:pPr>
              <w:rPr>
                <w:b/>
                <w:lang w:val="uk-UA"/>
              </w:rPr>
            </w:pPr>
            <w:r>
              <w:rPr>
                <w:b/>
              </w:rPr>
              <w:t>E-mail</w:t>
            </w:r>
            <w:r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201" w:type="dxa"/>
            <w:gridSpan w:val="6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simchuk@ukr.net</w:t>
            </w:r>
          </w:p>
        </w:tc>
      </w:tr>
      <w:tr w:rsidR="005D19D3">
        <w:tc>
          <w:tcPr>
            <w:tcW w:w="3367" w:type="dxa"/>
            <w:gridSpan w:val="4"/>
            <w:shd w:val="clear" w:color="auto" w:fill="auto"/>
          </w:tcPr>
          <w:p w:rsidR="005D19D3" w:rsidRDefault="0028277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1" w:type="dxa"/>
            <w:gridSpan w:val="6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Заочний </w:t>
            </w:r>
            <w:r>
              <w:rPr>
                <w:i/>
                <w:lang w:val="uk-UA"/>
              </w:rPr>
              <w:t>(offline)</w:t>
            </w:r>
          </w:p>
        </w:tc>
      </w:tr>
      <w:tr w:rsidR="005D19D3">
        <w:tc>
          <w:tcPr>
            <w:tcW w:w="3367" w:type="dxa"/>
            <w:gridSpan w:val="4"/>
            <w:shd w:val="clear" w:color="auto" w:fill="auto"/>
          </w:tcPr>
          <w:p w:rsidR="005D19D3" w:rsidRDefault="0028277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1" w:type="dxa"/>
            <w:gridSpan w:val="6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</w:p>
        </w:tc>
      </w:tr>
      <w:tr w:rsidR="005D19D3">
        <w:tc>
          <w:tcPr>
            <w:tcW w:w="3367" w:type="dxa"/>
            <w:gridSpan w:val="4"/>
            <w:shd w:val="clear" w:color="auto" w:fill="auto"/>
          </w:tcPr>
          <w:p w:rsidR="005D19D3" w:rsidRDefault="0028277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1" w:type="dxa"/>
            <w:gridSpan w:val="6"/>
            <w:shd w:val="clear" w:color="auto" w:fill="auto"/>
          </w:tcPr>
          <w:p w:rsidR="005D19D3" w:rsidRDefault="005D19D3">
            <w:pPr>
              <w:jc w:val="both"/>
              <w:rPr>
                <w:lang w:val="uk-UA"/>
              </w:rPr>
            </w:pPr>
          </w:p>
        </w:tc>
      </w:tr>
      <w:tr w:rsidR="005D19D3">
        <w:tc>
          <w:tcPr>
            <w:tcW w:w="3367" w:type="dxa"/>
            <w:gridSpan w:val="4"/>
            <w:shd w:val="clear" w:color="auto" w:fill="auto"/>
          </w:tcPr>
          <w:p w:rsidR="005D19D3" w:rsidRDefault="0028277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201" w:type="dxa"/>
            <w:gridSpan w:val="6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Очні групові та </w:t>
            </w:r>
            <w:r>
              <w:rPr>
                <w:color w:val="000000"/>
                <w:lang w:val="uk-UA"/>
              </w:rPr>
              <w:t>онлайн-консультації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r>
              <w:rPr>
                <w:b/>
              </w:rPr>
              <w:t>нотація до курсу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Біологія людини як наука про основи життєдіяльності людини вивчає закономірності спадковості, </w:t>
            </w:r>
            <w:r>
              <w:rPr>
                <w:lang w:val="uk-UA"/>
              </w:rPr>
              <w:t>мінливості, індивідуального розвитку і морфофізіологічних адаптацій до умов зовнішнього середовища у зв’язку з її біосоціальною сутністю та вплив молекулярно-генетичних, клітинних онтогенетичних, популяційних, екологічних факторів на людину.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>та ці</w:t>
            </w:r>
            <w:r>
              <w:rPr>
                <w:b/>
                <w:lang w:val="uk-UA"/>
              </w:rPr>
              <w:t xml:space="preserve">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tabs>
                <w:tab w:val="left" w:pos="285"/>
              </w:tabs>
              <w:ind w:left="284" w:hanging="284"/>
              <w:jc w:val="both"/>
            </w:pPr>
            <w:r>
              <w:rPr>
                <w:lang w:val="uk-UA"/>
              </w:rPr>
              <w:t>Метою викладання курсу є:</w:t>
            </w:r>
          </w:p>
          <w:p w:rsidR="005D19D3" w:rsidRDefault="0028277A">
            <w:pPr>
              <w:pStyle w:val="aa"/>
              <w:numPr>
                <w:ilvl w:val="0"/>
                <w:numId w:val="2"/>
              </w:numPr>
              <w:tabs>
                <w:tab w:val="left" w:pos="285"/>
              </w:tabs>
              <w:spacing w:after="0"/>
              <w:ind w:left="284" w:hanging="284"/>
              <w:jc w:val="both"/>
            </w:pPr>
            <w:r>
              <w:rPr>
                <w:bCs/>
                <w:lang w:val="uk-UA"/>
              </w:rPr>
              <w:t xml:space="preserve">формування уявлення у студентів про біологію людини як науки, її місце в системі біологічних дисциплін, </w:t>
            </w:r>
            <w:r>
              <w:rPr>
                <w:lang w:val="uk-UA"/>
              </w:rPr>
              <w:t xml:space="preserve">ознайомлення з методами досліджень; </w:t>
            </w:r>
          </w:p>
          <w:p w:rsidR="005D19D3" w:rsidRDefault="0028277A">
            <w:pPr>
              <w:pStyle w:val="aa"/>
              <w:tabs>
                <w:tab w:val="left" w:pos="285"/>
              </w:tabs>
              <w:spacing w:after="0"/>
              <w:ind w:left="644"/>
              <w:jc w:val="both"/>
            </w:pPr>
            <w:r>
              <w:rPr>
                <w:lang w:val="uk-UA"/>
              </w:rPr>
              <w:t>Цілі курсу:</w:t>
            </w:r>
          </w:p>
          <w:p w:rsidR="005D19D3" w:rsidRDefault="0028277A">
            <w:pPr>
              <w:pStyle w:val="ab"/>
              <w:numPr>
                <w:ilvl w:val="0"/>
                <w:numId w:val="2"/>
              </w:numPr>
              <w:tabs>
                <w:tab w:val="left" w:pos="285"/>
              </w:tabs>
              <w:ind w:left="284" w:hanging="284"/>
              <w:jc w:val="both"/>
            </w:pPr>
            <w:r>
              <w:rPr>
                <w:szCs w:val="28"/>
                <w:lang w:val="uk-UA"/>
              </w:rPr>
              <w:t xml:space="preserve">ознайомлення студентів із особливостями анатомічної будови </w:t>
            </w:r>
            <w:r>
              <w:rPr>
                <w:szCs w:val="28"/>
                <w:lang w:val="uk-UA"/>
              </w:rPr>
              <w:t>організму та органів людини; генетикою людини; взаємозв’язком між анатомічною будовою людини та навколишнім середовищем;</w:t>
            </w:r>
          </w:p>
          <w:p w:rsidR="005D19D3" w:rsidRDefault="0028277A">
            <w:pPr>
              <w:pStyle w:val="aa"/>
              <w:numPr>
                <w:ilvl w:val="0"/>
                <w:numId w:val="2"/>
              </w:numPr>
              <w:tabs>
                <w:tab w:val="left" w:pos="285"/>
              </w:tabs>
              <w:spacing w:after="0"/>
              <w:ind w:left="284" w:hanging="284"/>
              <w:jc w:val="both"/>
            </w:pPr>
            <w:r>
              <w:rPr>
                <w:bCs/>
                <w:lang w:val="uk-UA"/>
              </w:rPr>
              <w:t>формування наукового підходу до проблем еволюції людини, формування знань про сучасні уявлення та теорії її філогенезу;</w:t>
            </w:r>
          </w:p>
          <w:p w:rsidR="005D19D3" w:rsidRDefault="0028277A">
            <w:pPr>
              <w:pStyle w:val="aa"/>
              <w:numPr>
                <w:ilvl w:val="0"/>
                <w:numId w:val="2"/>
              </w:numPr>
              <w:tabs>
                <w:tab w:val="left" w:pos="285"/>
              </w:tabs>
              <w:spacing w:after="0"/>
              <w:ind w:left="284" w:hanging="284"/>
              <w:jc w:val="both"/>
            </w:pPr>
            <w:r>
              <w:rPr>
                <w:lang w:val="uk-UA"/>
              </w:rPr>
              <w:t>отримання ґрунт</w:t>
            </w:r>
            <w:r>
              <w:rPr>
                <w:lang w:val="uk-UA"/>
              </w:rPr>
              <w:t xml:space="preserve">овних знань </w:t>
            </w:r>
            <w:r>
              <w:rPr>
                <w:bCs/>
                <w:lang w:val="uk-UA"/>
              </w:rPr>
              <w:t>про середовище існування, роль екологічних факторів у житті людини, механізми адаптації людини до різноманітних впливів навколишнього середовища.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результаті вивчення дисципліни “Біологія людини” студе</w:t>
            </w:r>
            <w:r>
              <w:rPr>
                <w:lang w:val="uk-UA"/>
              </w:rPr>
              <w:t>нт по-</w:t>
            </w:r>
          </w:p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винен знати:</w:t>
            </w:r>
          </w:p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• будову та основні процеси життєдіяльності людини;</w:t>
            </w:r>
          </w:p>
          <w:p w:rsidR="005D19D3" w:rsidRDefault="0028277A">
            <w:pPr>
              <w:jc w:val="both"/>
            </w:pPr>
            <w:r>
              <w:rPr>
                <w:lang w:val="uk-UA"/>
              </w:rPr>
              <w:t>• о</w:t>
            </w:r>
            <w:r>
              <w:t>сновні положення генетики людини</w:t>
            </w:r>
            <w:r>
              <w:rPr>
                <w:lang w:val="uk-UA"/>
              </w:rPr>
              <w:t>;</w:t>
            </w:r>
          </w:p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• про процес формування адаптацій, видоутворення, походження людини; біологічні та соціальні фактори антропогенезу;</w:t>
            </w:r>
          </w:p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• закономірності взаємодії </w:t>
            </w:r>
            <w:r>
              <w:rPr>
                <w:lang w:val="uk-UA"/>
              </w:rPr>
              <w:t>організмів з середовищем, вплив біотичних та антропогенних факторів на людський організм;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5. Організація навчання курсу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t>Обсяг курсу</w:t>
            </w:r>
          </w:p>
        </w:tc>
      </w:tr>
      <w:tr w:rsidR="005D19D3">
        <w:tc>
          <w:tcPr>
            <w:tcW w:w="5635" w:type="dxa"/>
            <w:gridSpan w:val="5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933" w:type="dxa"/>
            <w:gridSpan w:val="5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5D19D3">
        <w:tc>
          <w:tcPr>
            <w:tcW w:w="5635" w:type="dxa"/>
            <w:gridSpan w:val="5"/>
            <w:shd w:val="clear" w:color="auto" w:fill="auto"/>
          </w:tcPr>
          <w:p w:rsidR="005D19D3" w:rsidRDefault="0028277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3933" w:type="dxa"/>
            <w:gridSpan w:val="5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5D19D3">
        <w:tc>
          <w:tcPr>
            <w:tcW w:w="5635" w:type="dxa"/>
            <w:gridSpan w:val="5"/>
            <w:shd w:val="clear" w:color="auto" w:fill="auto"/>
          </w:tcPr>
          <w:p w:rsidR="005D19D3" w:rsidRDefault="0028277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3" w:type="dxa"/>
            <w:gridSpan w:val="5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D19D3">
        <w:tc>
          <w:tcPr>
            <w:tcW w:w="5635" w:type="dxa"/>
            <w:gridSpan w:val="5"/>
            <w:shd w:val="clear" w:color="auto" w:fill="auto"/>
          </w:tcPr>
          <w:p w:rsidR="005D19D3" w:rsidRDefault="0028277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3933" w:type="dxa"/>
            <w:gridSpan w:val="5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5D19D3">
        <w:tc>
          <w:tcPr>
            <w:tcW w:w="1307" w:type="dxa"/>
            <w:shd w:val="clear" w:color="auto" w:fill="auto"/>
            <w:vAlign w:val="center"/>
          </w:tcPr>
          <w:p w:rsidR="005D19D3" w:rsidRDefault="0028277A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4650" w:type="dxa"/>
            <w:gridSpan w:val="5"/>
            <w:shd w:val="clear" w:color="auto" w:fill="auto"/>
            <w:vAlign w:val="center"/>
          </w:tcPr>
          <w:p w:rsidR="005D19D3" w:rsidRDefault="0028277A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1586" w:type="dxa"/>
            <w:gridSpan w:val="2"/>
            <w:shd w:val="clear" w:color="auto" w:fill="auto"/>
          </w:tcPr>
          <w:p w:rsidR="005D19D3" w:rsidRDefault="0028277A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:rsidR="005D19D3" w:rsidRDefault="0028277A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2025" w:type="dxa"/>
            <w:gridSpan w:val="2"/>
            <w:shd w:val="clear" w:color="auto" w:fill="auto"/>
          </w:tcPr>
          <w:p w:rsidR="005D19D3" w:rsidRDefault="0028277A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:rsidR="005D19D3" w:rsidRDefault="0028277A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5D19D3">
        <w:tc>
          <w:tcPr>
            <w:tcW w:w="1307" w:type="dxa"/>
            <w:shd w:val="clear" w:color="auto" w:fill="auto"/>
          </w:tcPr>
          <w:p w:rsidR="005D19D3" w:rsidRDefault="0028277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650" w:type="dxa"/>
            <w:gridSpan w:val="5"/>
            <w:shd w:val="clear" w:color="auto" w:fill="auto"/>
          </w:tcPr>
          <w:p w:rsidR="005D19D3" w:rsidRDefault="0028277A">
            <w:pPr>
              <w:jc w:val="both"/>
            </w:pPr>
            <w:r>
              <w:rPr>
                <w:lang w:val="uk-UA"/>
              </w:rPr>
              <w:t>014 середня освіта (природничі науки)</w:t>
            </w:r>
          </w:p>
        </w:tc>
        <w:tc>
          <w:tcPr>
            <w:tcW w:w="1586" w:type="dxa"/>
            <w:gridSpan w:val="2"/>
            <w:shd w:val="clear" w:color="auto" w:fill="auto"/>
          </w:tcPr>
          <w:p w:rsidR="005D19D3" w:rsidRDefault="0028277A">
            <w:pPr>
              <w:jc w:val="both"/>
            </w:pPr>
            <w:r>
              <w:rPr>
                <w:lang w:val="uk-UA"/>
              </w:rPr>
              <w:t>ІІ-й</w:t>
            </w:r>
          </w:p>
        </w:tc>
        <w:tc>
          <w:tcPr>
            <w:tcW w:w="2025" w:type="dxa"/>
            <w:gridSpan w:val="2"/>
            <w:shd w:val="clear" w:color="auto" w:fill="auto"/>
          </w:tcPr>
          <w:p w:rsidR="005D19D3" w:rsidRDefault="0028277A">
            <w:pPr>
              <w:jc w:val="both"/>
            </w:pPr>
            <w:r>
              <w:rPr>
                <w:highlight w:val="yellow"/>
                <w:lang w:val="uk-UA"/>
              </w:rPr>
              <w:t>вибірковий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5D19D3">
        <w:tc>
          <w:tcPr>
            <w:tcW w:w="2207" w:type="dxa"/>
            <w:gridSpan w:val="2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082" w:type="dxa"/>
            <w:shd w:val="clear" w:color="auto" w:fill="auto"/>
          </w:tcPr>
          <w:p w:rsidR="005D19D3" w:rsidRDefault="0028277A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2668" w:type="dxa"/>
            <w:gridSpan w:val="3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189" w:type="dxa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350" w:type="dxa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5D19D3">
        <w:tc>
          <w:tcPr>
            <w:tcW w:w="2207" w:type="dxa"/>
            <w:gridSpan w:val="2"/>
            <w:shd w:val="clear" w:color="auto" w:fill="auto"/>
          </w:tcPr>
          <w:p w:rsidR="005D19D3" w:rsidRDefault="0028277A">
            <w:pPr>
              <w:jc w:val="both"/>
            </w:pPr>
            <w:r>
              <w:rPr>
                <w:lang w:val="uk-UA"/>
              </w:rPr>
              <w:t xml:space="preserve">Тема 1. Біологія </w:t>
            </w:r>
            <w:r>
              <w:rPr>
                <w:lang w:val="uk-UA"/>
              </w:rPr>
              <w:t>людини як наука. А</w:t>
            </w:r>
            <w:r>
              <w:rPr>
                <w:szCs w:val="28"/>
                <w:lang w:val="uk-UA"/>
              </w:rPr>
              <w:t>натомічна будова організму та органів людини; генетика людини; взаємозв’язки між анатомічною будовою людини та навколишнім середовищем.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082" w:type="dxa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</w:tcPr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Бужієвська Т.І. Основи медичної генетики: Навч. посібник для ВМЗО.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– К.: Здоров’я, 2001. – </w:t>
            </w:r>
            <w:r>
              <w:rPr>
                <w:sz w:val="22"/>
                <w:szCs w:val="22"/>
                <w:lang w:val="uk-UA"/>
              </w:rPr>
              <w:t>136 с.</w:t>
            </w:r>
          </w:p>
          <w:p w:rsidR="005D19D3" w:rsidRDefault="00282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2. </w:t>
            </w:r>
            <w:r>
              <w:rPr>
                <w:sz w:val="22"/>
                <w:szCs w:val="22"/>
                <w:lang w:val="uk-UA"/>
              </w:rPr>
              <w:t>Старушенко Л.І. Анатомія та фізіологія людини: підручник. —К.: Здоров’я, 2003. —336 с.</w:t>
            </w:r>
          </w:p>
          <w:p w:rsidR="005D19D3" w:rsidRDefault="00282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3. Сидоренко П.І. та ін. Анатомія та фізіологія людини: підручник. —2-ге вид.—К.: Медицина, 2009. —248 с.</w:t>
            </w:r>
          </w:p>
          <w:p w:rsidR="005D19D3" w:rsidRDefault="00282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4. Навчальний атлас занатомії та фізіології. Людина: </w:t>
            </w:r>
            <w:r>
              <w:rPr>
                <w:sz w:val="22"/>
                <w:szCs w:val="22"/>
                <w:lang w:val="uk-UA"/>
              </w:rPr>
              <w:t>пер. з англ.—Львів, 2000.—240 с.</w:t>
            </w:r>
          </w:p>
        </w:tc>
        <w:tc>
          <w:tcPr>
            <w:tcW w:w="1189" w:type="dxa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бали</w:t>
            </w:r>
          </w:p>
        </w:tc>
        <w:tc>
          <w:tcPr>
            <w:tcW w:w="1350" w:type="dxa"/>
            <w:shd w:val="clear" w:color="auto" w:fill="auto"/>
          </w:tcPr>
          <w:p w:rsidR="005D19D3" w:rsidRDefault="0028277A">
            <w:pPr>
              <w:jc w:val="both"/>
            </w:pPr>
            <w:r>
              <w:rPr>
                <w:lang w:val="uk-UA"/>
              </w:rPr>
              <w:t>семе</w:t>
            </w:r>
            <w:r>
              <w:t>стр</w:t>
            </w:r>
          </w:p>
        </w:tc>
      </w:tr>
      <w:tr w:rsidR="005D19D3">
        <w:tc>
          <w:tcPr>
            <w:tcW w:w="2207" w:type="dxa"/>
            <w:gridSpan w:val="2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</w:t>
            </w:r>
            <w:r>
              <w:rPr>
                <w:szCs w:val="28"/>
                <w:lang w:val="uk-UA"/>
              </w:rPr>
              <w:t>натомічна будова організму та органів людини; генетика людини; взаємозв’язки між анатомічною будовою людини та навколишнім середовищем.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082" w:type="dxa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668" w:type="dxa"/>
            <w:gridSpan w:val="3"/>
            <w:vMerge/>
            <w:shd w:val="clear" w:color="auto" w:fill="auto"/>
          </w:tcPr>
          <w:p w:rsidR="005D19D3" w:rsidRDefault="005D19D3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89" w:type="dxa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 балів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</w:tr>
      <w:tr w:rsidR="005D19D3">
        <w:tc>
          <w:tcPr>
            <w:tcW w:w="2207" w:type="dxa"/>
            <w:gridSpan w:val="2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2. П</w:t>
            </w:r>
            <w:r>
              <w:rPr>
                <w:bCs/>
                <w:lang w:val="uk-UA"/>
              </w:rPr>
              <w:t xml:space="preserve">роблеми еволюції </w:t>
            </w:r>
            <w:r>
              <w:rPr>
                <w:bCs/>
                <w:lang w:val="uk-UA"/>
              </w:rPr>
              <w:t>людини, сучасні уявлення та теорії її філогенезу.</w:t>
            </w:r>
          </w:p>
        </w:tc>
        <w:tc>
          <w:tcPr>
            <w:tcW w:w="1082" w:type="dxa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668" w:type="dxa"/>
            <w:gridSpan w:val="3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Околітенко Н. І., Гродзинський Д. М. Основи системної біології: Навч. посіб. – К. : Либідь, 2005. – 360 с.</w:t>
            </w:r>
          </w:p>
          <w:p w:rsidR="005D19D3" w:rsidRDefault="00282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2. Сегеда С. Антропологія. – К. : Либідь, 2001. – 336 с.</w:t>
            </w:r>
          </w:p>
        </w:tc>
        <w:tc>
          <w:tcPr>
            <w:tcW w:w="1189" w:type="dxa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бали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</w:tr>
      <w:tr w:rsidR="005D19D3">
        <w:tc>
          <w:tcPr>
            <w:tcW w:w="2207" w:type="dxa"/>
            <w:gridSpan w:val="2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3.      </w:t>
            </w:r>
          </w:p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>
              <w:rPr>
                <w:bCs/>
                <w:lang w:val="uk-UA"/>
              </w:rPr>
              <w:t>ередовище існування людини, роль екологічних факторів у житті людини, механізми адаптації людини до різноманітних впливів навколишнього середовища.</w:t>
            </w:r>
          </w:p>
        </w:tc>
        <w:tc>
          <w:tcPr>
            <w:tcW w:w="1082" w:type="dxa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668" w:type="dxa"/>
            <w:gridSpan w:val="3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Димань Т. М. Екологія людини / Т. М. Димань – К.: Академія, 2009. – 376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Залес</w:t>
            </w:r>
            <w:r>
              <w:rPr>
                <w:sz w:val="22"/>
                <w:szCs w:val="22"/>
                <w:lang w:val="uk-UA"/>
              </w:rPr>
              <w:t>ький І.І. Екологія людини: Підручник / І. І. Залеський, М. О. Клименко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 К.: Видавничий центр «Академія», 2005. – 288 с.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 Вернадский В. И. Биосфера и ноосфера / В. И. Вернадский – М.: Айрис-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пресс, 2012. – 576 с.</w:t>
            </w:r>
          </w:p>
        </w:tc>
        <w:tc>
          <w:tcPr>
            <w:tcW w:w="1189" w:type="dxa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 бали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</w:tr>
      <w:tr w:rsidR="005D19D3">
        <w:tc>
          <w:tcPr>
            <w:tcW w:w="2207" w:type="dxa"/>
            <w:gridSpan w:val="2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Проблеми еволюції людини, сучасні уявлення та теорії її філогенезу. </w:t>
            </w:r>
            <w:r>
              <w:rPr>
                <w:lang w:val="uk-UA"/>
              </w:rPr>
              <w:t>С</w:t>
            </w:r>
            <w:r>
              <w:rPr>
                <w:bCs/>
                <w:lang w:val="uk-UA"/>
              </w:rPr>
              <w:t xml:space="preserve">ередовище існування людини, </w:t>
            </w:r>
            <w:r>
              <w:rPr>
                <w:bCs/>
                <w:lang w:val="uk-UA"/>
              </w:rPr>
              <w:lastRenderedPageBreak/>
              <w:t>роль екологічних факторів у житті людини, механізми адаптації людини до різноманітних впливів навколишнього середовища.</w:t>
            </w:r>
          </w:p>
        </w:tc>
        <w:tc>
          <w:tcPr>
            <w:tcW w:w="1082" w:type="dxa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</w:t>
            </w:r>
          </w:p>
        </w:tc>
        <w:tc>
          <w:tcPr>
            <w:tcW w:w="2668" w:type="dxa"/>
            <w:gridSpan w:val="3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Околітенко Н. І., </w:t>
            </w:r>
            <w:r>
              <w:rPr>
                <w:sz w:val="22"/>
                <w:szCs w:val="22"/>
                <w:lang w:val="uk-UA"/>
              </w:rPr>
              <w:t>Гродзинський Д. М. Основи системної біології: Навч. посіб. – К. : Либідь, 2005. – 360 с.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Сегеда С. Антропологія. – К. : Либідь, 2001. – 336 с.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3. Димань Т. М. Екологія людини / Т. М. Димань – К.: Академія, 2009. – 376 с.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 Залеський І.І. Екологія людин</w:t>
            </w:r>
            <w:r>
              <w:rPr>
                <w:sz w:val="22"/>
                <w:szCs w:val="22"/>
                <w:lang w:val="uk-UA"/>
              </w:rPr>
              <w:t>и: Підручник / І. І. Залеський, М. О. Клименко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 К.: Видавничий центр «Академія», 2005. – 288 с.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 Вернадский В. И. Биосфера и ноосфера / В. И. Вернадский – М.: Айрис-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bookmarkStart w:id="1" w:name="__DdeLink__2318_4170950577"/>
            <w:r>
              <w:rPr>
                <w:sz w:val="22"/>
                <w:szCs w:val="22"/>
                <w:lang w:val="uk-UA"/>
              </w:rPr>
              <w:t>пресс,  2012. – 576 с.</w:t>
            </w:r>
            <w:bookmarkEnd w:id="1"/>
          </w:p>
        </w:tc>
        <w:tc>
          <w:tcPr>
            <w:tcW w:w="1189" w:type="dxa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 год.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 балів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5D19D3">
        <w:tc>
          <w:tcPr>
            <w:tcW w:w="3289" w:type="dxa"/>
            <w:gridSpan w:val="3"/>
            <w:shd w:val="clear" w:color="auto" w:fill="auto"/>
          </w:tcPr>
          <w:p w:rsidR="005D19D3" w:rsidRDefault="0028277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Загальна </w:t>
            </w:r>
            <w:r>
              <w:rPr>
                <w:rFonts w:ascii="Times New Roman" w:eastAsia="Times New Roman" w:hAnsi="Times New Roman" w:cs="Times New Roman"/>
                <w:szCs w:val="24"/>
              </w:rPr>
              <w:t>система оцінювання курсу</w:t>
            </w:r>
          </w:p>
        </w:tc>
        <w:tc>
          <w:tcPr>
            <w:tcW w:w="6279" w:type="dxa"/>
            <w:gridSpan w:val="7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Оцінювання – це заключний етап навчальної діяльності студента, спрямований на визначення успішності навчання. </w:t>
            </w:r>
          </w:p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Методи контролю</w:t>
            </w:r>
          </w:p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Модульний контроль (контрольні роботи). </w:t>
            </w:r>
          </w:p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Поточний контроль здійснюється шляхом опитування/ тестува</w:t>
            </w:r>
            <w:r>
              <w:rPr>
                <w:lang w:val="uk-UA"/>
              </w:rPr>
              <w:t xml:space="preserve">ння кожної теми теоретичного матеріалу, захисту лабораторних робіт та індивідуального завдання. </w:t>
            </w:r>
          </w:p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 Екзамен.</w:t>
            </w:r>
          </w:p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Оцінка знань студентів здійснюється за 100 бальною шкалою:</w:t>
            </w:r>
          </w:p>
          <w:p w:rsidR="005D19D3" w:rsidRPr="0028277A" w:rsidRDefault="0028277A">
            <w:pPr>
              <w:jc w:val="both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850005" cy="2089150"/>
                  <wp:effectExtent l="0" t="0" r="0" b="0"/>
                  <wp:wrapSquare wrapText="largest"/>
                  <wp:docPr id="1" name="Зображенн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Зображенн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0005" cy="208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uk-UA"/>
              </w:rPr>
              <w:t xml:space="preserve">Оцінка з даного курсу виставляється як сума оцінок за відвідування лекцій (3 лекції по </w:t>
            </w:r>
            <w:r>
              <w:rPr>
                <w:lang w:val="uk-UA"/>
              </w:rPr>
              <w:t xml:space="preserve">4 бала, всього – 12 балів), роботи на </w:t>
            </w:r>
            <w:r w:rsidRPr="0028277A">
              <w:rPr>
                <w:lang w:val="uk-UA"/>
              </w:rPr>
              <w:t xml:space="preserve">семінарах (2 </w:t>
            </w:r>
            <w:r>
              <w:rPr>
                <w:lang w:val="uk-UA"/>
              </w:rPr>
              <w:t xml:space="preserve">семінари по 19 балів, всого — 38 балів) та оцінки підсумкового контролю – екзамен (50 балів) </w:t>
            </w:r>
          </w:p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 контроль здійснюється шляхом опитування/ тестування по кожній темі теоретичного матеріалу, захисту всі</w:t>
            </w:r>
            <w:r>
              <w:rPr>
                <w:lang w:val="uk-UA"/>
              </w:rPr>
              <w:t>х практичних робіт, оцінювання виконання індивідуального завдання (проект, реферат, мультимедійна презентація, набір таблиць, препаратів, участь в олімпіаді тощо). При цьому враховуються відвідуваність занять, активність та креативність студента при викона</w:t>
            </w:r>
            <w:r>
              <w:rPr>
                <w:lang w:val="uk-UA"/>
              </w:rPr>
              <w:t xml:space="preserve">нні кожного завдання. Поточне оцінювання проводиться за десятибальною шкалою, а в кінці вираховується середнє </w:t>
            </w:r>
            <w:r>
              <w:rPr>
                <w:lang w:val="uk-UA"/>
              </w:rPr>
              <w:lastRenderedPageBreak/>
              <w:t>арифметичне з оцінок за всі види робіт. Максимальна кількість балів – 19.</w:t>
            </w:r>
          </w:p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модульний контроль – комплексна контрольна робота – також оц</w:t>
            </w:r>
            <w:r>
              <w:rPr>
                <w:lang w:val="uk-UA"/>
              </w:rPr>
              <w:t>інюється за десятибальною шкалою. Студентам дозволено перездавати тільки незадовільні оцінки. Позитивні оцінки виставляються тільки при успішному виконанні робіт і їх захисті. Повнота висвітлення матеріалу і кількість правильних відповідей повинні становит</w:t>
            </w:r>
            <w:r>
              <w:rPr>
                <w:lang w:val="uk-UA"/>
              </w:rPr>
              <w:t>и не менше 50% на 5 балів.</w:t>
            </w:r>
          </w:p>
        </w:tc>
      </w:tr>
      <w:tr w:rsidR="005D19D3">
        <w:tc>
          <w:tcPr>
            <w:tcW w:w="3289" w:type="dxa"/>
            <w:gridSpan w:val="3"/>
            <w:shd w:val="clear" w:color="auto" w:fill="auto"/>
          </w:tcPr>
          <w:p w:rsidR="005D19D3" w:rsidRDefault="0028277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279" w:type="dxa"/>
            <w:gridSpan w:val="7"/>
            <w:shd w:val="clear" w:color="auto" w:fill="auto"/>
          </w:tcPr>
          <w:p w:rsidR="005D19D3" w:rsidRDefault="0028277A">
            <w:pPr>
              <w:jc w:val="both"/>
            </w:pPr>
            <w:r>
              <w:rPr>
                <w:lang w:val="uk-UA"/>
              </w:rPr>
              <w:t xml:space="preserve">У письмовій роботі студент повинен продемонструвати уміння синтезувати теоретичні і практичні знання, отримані з лекцій та </w:t>
            </w:r>
            <w:r>
              <w:t>само</w:t>
            </w:r>
            <w:r>
              <w:rPr>
                <w:lang w:val="uk-UA"/>
              </w:rPr>
              <w:t>стійної роботи. Під час підсумкового модульного завдання розглядаються кон</w:t>
            </w:r>
            <w:r>
              <w:rPr>
                <w:lang w:val="uk-UA"/>
              </w:rPr>
              <w:t>трольні питання, тести, лексичний мінімум, ситуаційні задачі, запропоновані у методичних розробках для студентів, здійснюється контроль практичних навиків і умінь за темами курсу. Усі відповіді повинні бути подані чітко, грамотно, у заданій послідовності.</w:t>
            </w:r>
          </w:p>
        </w:tc>
      </w:tr>
      <w:tr w:rsidR="005D19D3">
        <w:tc>
          <w:tcPr>
            <w:tcW w:w="3289" w:type="dxa"/>
            <w:gridSpan w:val="3"/>
            <w:shd w:val="clear" w:color="auto" w:fill="auto"/>
          </w:tcPr>
          <w:p w:rsidR="005D19D3" w:rsidRDefault="0028277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</w:t>
            </w:r>
          </w:p>
        </w:tc>
        <w:tc>
          <w:tcPr>
            <w:tcW w:w="6279" w:type="dxa"/>
            <w:gridSpan w:val="7"/>
            <w:shd w:val="clear" w:color="auto" w:fill="auto"/>
          </w:tcPr>
          <w:p w:rsidR="005D19D3" w:rsidRDefault="0028277A">
            <w:pPr>
              <w:jc w:val="both"/>
            </w:pPr>
            <w:r>
              <w:rPr>
                <w:lang w:val="uk-UA"/>
              </w:rPr>
              <w:t>Практичні роботи (</w:t>
            </w:r>
            <w:r>
              <w:t>семінари)</w:t>
            </w:r>
            <w:r>
              <w:rPr>
                <w:lang w:val="uk-UA"/>
              </w:rPr>
              <w:t xml:space="preserve"> вимагають від студентів дотримання певних правил, прописаних у методичних рекомендаціях до даного виду робіт, що впливає на оцінювання їх виконання. При оцінюванні практичних робіт враховується: рівень теоретичної підготовки, розуміння мети та завдання ро</w:t>
            </w:r>
            <w:r>
              <w:rPr>
                <w:lang w:val="uk-UA"/>
              </w:rPr>
              <w:t xml:space="preserve">боти, логічність та грамотність зроблених висновків. </w:t>
            </w:r>
            <w:r>
              <w:rPr>
                <w:lang w:val="uk-UA"/>
              </w:rPr>
              <w:t>Максимальна кількість балів за практичну роботу - 19</w:t>
            </w:r>
            <w:r>
              <w:rPr>
                <w:lang w:val="uk-UA"/>
              </w:rPr>
              <w:t xml:space="preserve">. </w:t>
            </w:r>
          </w:p>
        </w:tc>
      </w:tr>
      <w:tr w:rsidR="005D19D3">
        <w:tc>
          <w:tcPr>
            <w:tcW w:w="3289" w:type="dxa"/>
            <w:gridSpan w:val="3"/>
            <w:shd w:val="clear" w:color="auto" w:fill="auto"/>
          </w:tcPr>
          <w:p w:rsidR="005D19D3" w:rsidRDefault="0028277A">
            <w:pPr>
              <w:pStyle w:val="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Cs w:val="24"/>
              </w:rPr>
              <w:t>Умови допуску до підсумкового контролю</w:t>
            </w:r>
          </w:p>
        </w:tc>
        <w:tc>
          <w:tcPr>
            <w:tcW w:w="6279" w:type="dxa"/>
            <w:gridSpan w:val="7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 здійснюється після завершення вивчення всіх тем учбової дисципліни. До підсумкового кон</w:t>
            </w:r>
            <w:r>
              <w:rPr>
                <w:lang w:val="uk-UA"/>
              </w:rPr>
              <w:t>тролю допускаються студенти, які були присутні на всіх передбачених програмою лекційних і практичних заняттях і при вивченні поточних тем набрати не менше 25-ти балів. Студенти, які мали пропуски учбових занять, дозволяється ліквідувати заборгованість на п</w:t>
            </w:r>
            <w:r>
              <w:rPr>
                <w:lang w:val="uk-UA"/>
              </w:rPr>
              <w:t>ротязі наступних після пропуску двох тижнів.</w:t>
            </w:r>
          </w:p>
        </w:tc>
      </w:tr>
      <w:tr w:rsidR="005D19D3">
        <w:tc>
          <w:tcPr>
            <w:tcW w:w="3289" w:type="dxa"/>
            <w:gridSpan w:val="3"/>
            <w:tcBorders>
              <w:top w:val="nil"/>
            </w:tcBorders>
            <w:shd w:val="clear" w:color="auto" w:fill="auto"/>
          </w:tcPr>
          <w:p w:rsidR="005D19D3" w:rsidRDefault="0028277A">
            <w:pPr>
              <w:pStyle w:val="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Cs w:val="24"/>
              </w:rPr>
              <w:t>Підсумковий контроль (екзамен)</w:t>
            </w:r>
          </w:p>
        </w:tc>
        <w:tc>
          <w:tcPr>
            <w:tcW w:w="6279" w:type="dxa"/>
            <w:gridSpan w:val="7"/>
            <w:tcBorders>
              <w:top w:val="nil"/>
            </w:tcBorders>
            <w:shd w:val="clear" w:color="auto" w:fill="auto"/>
          </w:tcPr>
          <w:p w:rsidR="005D19D3" w:rsidRDefault="0028277A">
            <w:pPr>
              <w:jc w:val="both"/>
            </w:pPr>
            <w:r>
              <w:rPr>
                <w:lang w:val="uk-UA"/>
              </w:rPr>
              <w:t>Підсумковий контроль здійснюється в два етапи:</w:t>
            </w:r>
          </w:p>
          <w:p w:rsidR="005D19D3" w:rsidRDefault="0028277A">
            <w:pPr>
              <w:jc w:val="both"/>
            </w:pPr>
            <w:r>
              <w:rPr>
                <w:lang w:val="uk-UA"/>
              </w:rPr>
              <w:t>письмова відповідь на питання екзаменаційних білетів (три теоретичних та одне практичне запитань) або тестовий контроль (40 тестів);</w:t>
            </w:r>
          </w:p>
          <w:p w:rsidR="005D19D3" w:rsidRDefault="0028277A">
            <w:pPr>
              <w:jc w:val="both"/>
            </w:pPr>
            <w:r>
              <w:rPr>
                <w:lang w:val="uk-UA"/>
              </w:rPr>
              <w:t>усна співбесіда, захист письмової роботи.</w:t>
            </w:r>
          </w:p>
          <w:p w:rsidR="005D19D3" w:rsidRDefault="0028277A">
            <w:pPr>
              <w:jc w:val="both"/>
            </w:pPr>
            <w:r>
              <w:rPr>
                <w:lang w:val="uk-UA"/>
              </w:rPr>
              <w:t xml:space="preserve">Критерії оцінювання – загальноуніверситетські. Максимальна кількість балів, які може набрати студент при повній успішній здачі підсумкового контролю, становить 50 балів. 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 навчального процесу здійснюється на основі кредитно-модульної системи відповідно до вимог Болонського процесу із застосуванням модульно-рейтингової системи оцінювання успішності студентів. Зараховуються бали, набрані при поточному тестуванні, с</w:t>
            </w:r>
            <w:r>
              <w:rPr>
                <w:lang w:val="uk-UA"/>
              </w:rPr>
              <w:t xml:space="preserve">амостійній роботі та бали підсумкового тестування. При цьому обов’язково враховується присутність студента на заняттях та його активність під час практичних робіт. </w:t>
            </w:r>
          </w:p>
          <w:p w:rsidR="005D19D3" w:rsidRDefault="002827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Недопустимо: пропуски та запізнення на заняття; користування мобільним телефоном, планшетом</w:t>
            </w:r>
            <w:r>
              <w:rPr>
                <w:lang w:val="uk-UA"/>
              </w:rPr>
              <w:t xml:space="preserve"> чи іншими мобільними пристроями під час заняття (крім випадків, </w:t>
            </w:r>
            <w:r>
              <w:rPr>
                <w:lang w:val="uk-UA"/>
              </w:rPr>
              <w:lastRenderedPageBreak/>
              <w:t>передбачених навчальним планом та методичними рекомендаціями викладача); списування та плагіат; несвоєчасне виконання поставленого завдання, наявність незадовільних оцінок за 50% і більше зда</w:t>
            </w:r>
            <w:r>
              <w:rPr>
                <w:lang w:val="uk-UA"/>
              </w:rPr>
              <w:t>ного теоретичного і практичного матеріалу.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5D19D3">
        <w:tc>
          <w:tcPr>
            <w:tcW w:w="9568" w:type="dxa"/>
            <w:gridSpan w:val="10"/>
            <w:shd w:val="clear" w:color="auto" w:fill="auto"/>
          </w:tcPr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Бужієвська Т.І. Основи медичної генетики: Навч. посібник для ВМЗО.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 К.: Здоров’я, 2001. – 136 с.</w:t>
            </w:r>
          </w:p>
          <w:p w:rsidR="005D19D3" w:rsidRDefault="00282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2. </w:t>
            </w:r>
            <w:r>
              <w:rPr>
                <w:sz w:val="22"/>
                <w:szCs w:val="22"/>
                <w:lang w:val="uk-UA"/>
              </w:rPr>
              <w:t xml:space="preserve">Старушенко Л.І. Анатомія та фізіологія людини: підручник. —К.: Здоров’я, 2003. </w:t>
            </w:r>
            <w:r>
              <w:rPr>
                <w:sz w:val="22"/>
                <w:szCs w:val="22"/>
                <w:lang w:val="uk-UA"/>
              </w:rPr>
              <w:t>—336 с.</w:t>
            </w:r>
          </w:p>
          <w:p w:rsidR="005D19D3" w:rsidRDefault="00282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3. Сидоренко П.І. та ін. Анатомія та фізіологія людини: підручник. —2-ге вид.—К.: Медицина, 2009. —248 с.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 Навчальний атлас занатомії та фізіології. Людина: пер. з англ.—Львів, 2000.—240 с.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 Околітенко Н. І., Гродзинський Д. М. Основи системної</w:t>
            </w:r>
            <w:r>
              <w:rPr>
                <w:sz w:val="22"/>
                <w:szCs w:val="22"/>
                <w:lang w:val="uk-UA"/>
              </w:rPr>
              <w:t xml:space="preserve"> біології: Навч. посіб. – К. : Либідь, 2005. – 360 с.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 Сегеда С. Антропологія. – К. : Либідь, 2001. – 336 с.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 Димань Т. М. Екологія людини / Т. М. Димань – К.: Академія, 2009. – 376 с.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8. Залеський І.І. Екологія людини: Підручник / І. І. Залеський, М. </w:t>
            </w:r>
            <w:r>
              <w:rPr>
                <w:sz w:val="22"/>
                <w:szCs w:val="22"/>
                <w:lang w:val="uk-UA"/>
              </w:rPr>
              <w:t>О. Клименко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 К.: Видавничий центр «Академія», 2005. – 288 с.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 Вернадский В. И. Биосфера и ноосфера / В. И. Вернадский – М.: Айрис-</w:t>
            </w:r>
          </w:p>
          <w:p w:rsidR="005D19D3" w:rsidRDefault="0028277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пресс,  2012. – 576 с.</w:t>
            </w:r>
          </w:p>
        </w:tc>
      </w:tr>
    </w:tbl>
    <w:p w:rsidR="005D19D3" w:rsidRDefault="005D19D3">
      <w:pPr>
        <w:jc w:val="both"/>
        <w:rPr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5D19D3">
      <w:pPr>
        <w:jc w:val="both"/>
        <w:rPr>
          <w:lang w:val="uk-UA"/>
        </w:rPr>
      </w:pPr>
    </w:p>
    <w:p w:rsidR="005D19D3" w:rsidRDefault="005D19D3">
      <w:pPr>
        <w:jc w:val="both"/>
        <w:rPr>
          <w:sz w:val="28"/>
          <w:szCs w:val="28"/>
          <w:lang w:val="uk-UA"/>
        </w:rPr>
      </w:pPr>
    </w:p>
    <w:p w:rsidR="005D19D3" w:rsidRDefault="002827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</w:p>
    <w:p w:rsidR="005D19D3" w:rsidRDefault="005D19D3">
      <w:pPr>
        <w:jc w:val="center"/>
        <w:rPr>
          <w:b/>
          <w:sz w:val="28"/>
          <w:szCs w:val="28"/>
          <w:lang w:val="uk-UA"/>
        </w:rPr>
      </w:pPr>
    </w:p>
    <w:p w:rsidR="005D19D3" w:rsidRDefault="005D19D3">
      <w:pPr>
        <w:jc w:val="center"/>
      </w:pPr>
    </w:p>
    <w:sectPr w:rsidR="005D19D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749B2"/>
    <w:multiLevelType w:val="multilevel"/>
    <w:tmpl w:val="F0441BDA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C744408"/>
    <w:multiLevelType w:val="multilevel"/>
    <w:tmpl w:val="2E74A7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71945DD"/>
    <w:multiLevelType w:val="multilevel"/>
    <w:tmpl w:val="C36CBA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D3"/>
    <w:rsid w:val="0028277A"/>
    <w:rsid w:val="005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Body Text Indent"/>
    <w:basedOn w:val="a"/>
    <w:rsid w:val="00395013"/>
    <w:pPr>
      <w:spacing w:after="120"/>
      <w:ind w:left="283"/>
    </w:pPr>
  </w:style>
  <w:style w:type="paragraph" w:styleId="ab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qFormat/>
    <w:rsid w:val="00B10A22"/>
    <w:pPr>
      <w:spacing w:line="276" w:lineRule="auto"/>
    </w:pPr>
    <w:rPr>
      <w:rFonts w:ascii="Arial" w:eastAsia="Arial" w:hAnsi="Arial" w:cs="Arial"/>
      <w:sz w:val="24"/>
      <w:lang w:eastAsia="uk-UA"/>
    </w:rPr>
  </w:style>
  <w:style w:type="table" w:styleId="ac">
    <w:name w:val="Table Grid"/>
    <w:basedOn w:val="a1"/>
    <w:uiPriority w:val="5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Body Text Indent"/>
    <w:basedOn w:val="a"/>
    <w:rsid w:val="00395013"/>
    <w:pPr>
      <w:spacing w:after="120"/>
      <w:ind w:left="283"/>
    </w:pPr>
  </w:style>
  <w:style w:type="paragraph" w:styleId="ab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qFormat/>
    <w:rsid w:val="00B10A22"/>
    <w:pPr>
      <w:spacing w:line="276" w:lineRule="auto"/>
    </w:pPr>
    <w:rPr>
      <w:rFonts w:ascii="Arial" w:eastAsia="Arial" w:hAnsi="Arial" w:cs="Arial"/>
      <w:sz w:val="24"/>
      <w:lang w:eastAsia="uk-UA"/>
    </w:rPr>
  </w:style>
  <w:style w:type="table" w:styleId="ac">
    <w:name w:val="Table Grid"/>
    <w:basedOn w:val="a1"/>
    <w:uiPriority w:val="5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A7529-9F49-4C3B-8326-CDE96CAA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6605</Words>
  <Characters>3765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2019-10-28T10:19:00Z</dcterms:created>
  <dcterms:modified xsi:type="dcterms:W3CDTF">2019-10-28T10:19:00Z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