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52284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752284">
        <w:rPr>
          <w:sz w:val="28"/>
          <w:szCs w:val="28"/>
          <w:lang w:val="uk-UA"/>
        </w:rPr>
        <w:t>філософії, соціології та релігієзнавства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FE28B7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ЕРИСТИКА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752284">
        <w:rPr>
          <w:sz w:val="28"/>
          <w:szCs w:val="28"/>
          <w:lang w:val="uk-UA"/>
        </w:rPr>
        <w:t xml:space="preserve"> 033</w:t>
      </w:r>
      <w:r w:rsidR="00B10A22">
        <w:rPr>
          <w:sz w:val="28"/>
          <w:szCs w:val="28"/>
          <w:lang w:val="uk-UA"/>
        </w:rPr>
        <w:t xml:space="preserve">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52284">
        <w:rPr>
          <w:sz w:val="28"/>
          <w:szCs w:val="28"/>
          <w:lang w:val="uk-UA"/>
        </w:rPr>
        <w:t>033 Філософія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59"/>
        <w:gridCol w:w="78"/>
        <w:gridCol w:w="417"/>
        <w:gridCol w:w="926"/>
        <w:gridCol w:w="1626"/>
        <w:gridCol w:w="1564"/>
        <w:gridCol w:w="122"/>
        <w:gridCol w:w="1405"/>
        <w:gridCol w:w="1348"/>
      </w:tblGrid>
      <w:tr w:rsidR="00C67355" w:rsidRPr="00C67355" w:rsidTr="00BE3A33">
        <w:tc>
          <w:tcPr>
            <w:tcW w:w="9571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D3701">
        <w:tc>
          <w:tcPr>
            <w:tcW w:w="2265" w:type="dxa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306" w:type="dxa"/>
            <w:gridSpan w:val="8"/>
          </w:tcPr>
          <w:p w:rsidR="002C2330" w:rsidRPr="00C67355" w:rsidRDefault="00D13E6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Еристика</w:t>
            </w:r>
          </w:p>
        </w:tc>
      </w:tr>
      <w:tr w:rsidR="00071F79" w:rsidRPr="00C67355" w:rsidTr="00DD3701">
        <w:tc>
          <w:tcPr>
            <w:tcW w:w="2265" w:type="dxa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306" w:type="dxa"/>
            <w:gridSpan w:val="8"/>
          </w:tcPr>
          <w:p w:rsidR="00071F79" w:rsidRPr="00C67355" w:rsidRDefault="00D959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Бакалаврат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 xml:space="preserve">Гнатюк Ярослав Степанович, доц., к.ф.н., доцент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, </w:t>
            </w:r>
            <w:proofErr w:type="spellStart"/>
            <w:r>
              <w:t>соціології</w:t>
            </w:r>
            <w:proofErr w:type="spellEnd"/>
            <w:r>
              <w:t xml:space="preserve"> та </w:t>
            </w:r>
            <w:proofErr w:type="spellStart"/>
            <w:r>
              <w:t>релігієзнавства</w:t>
            </w:r>
            <w:proofErr w:type="spellEnd"/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>Гнатюк Ярослав Степанович (0342) 596015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306" w:type="dxa"/>
            <w:gridSpan w:val="8"/>
          </w:tcPr>
          <w:p w:rsidR="00752284" w:rsidRPr="00C67355" w:rsidRDefault="0051237C" w:rsidP="00752284">
            <w:pPr>
              <w:jc w:val="both"/>
              <w:rPr>
                <w:lang w:val="uk-UA"/>
              </w:rPr>
            </w:pPr>
            <w:hyperlink r:id="rId6" w:history="1"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j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s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hnatiuk</w:t>
              </w:r>
              <w:r w:rsidR="00752284" w:rsidRPr="00394D22">
                <w:rPr>
                  <w:rStyle w:val="a8"/>
                  <w:shd w:val="clear" w:color="auto" w:fill="FFFFFF"/>
                </w:rPr>
                <w:t>@gmail.com</w:t>
              </w:r>
            </w:hyperlink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306" w:type="dxa"/>
            <w:gridSpan w:val="8"/>
          </w:tcPr>
          <w:p w:rsidR="00752284" w:rsidRPr="00325443" w:rsidRDefault="0051237C" w:rsidP="00752284">
            <w:pPr>
              <w:jc w:val="both"/>
            </w:pPr>
            <w:hyperlink r:id="rId7" w:tgtFrame="_blank" w:history="1"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http://www.d-learn.pu.if.ua</w:t>
              </w:r>
            </w:hyperlink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306" w:type="dxa"/>
            <w:gridSpan w:val="8"/>
          </w:tcPr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Графіку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занять </w:t>
            </w:r>
            <w:proofErr w:type="spellStart"/>
            <w:r>
              <w:rPr>
                <w:lang w:eastAsia="en-US"/>
              </w:rPr>
              <w:t>зі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i/>
                <w:iCs/>
                <w:lang w:eastAsia="en-US"/>
              </w:rPr>
              <w:t>розміщеному</w:t>
            </w:r>
            <w:proofErr w:type="spellEnd"/>
            <w:r>
              <w:rPr>
                <w:i/>
                <w:iCs/>
                <w:lang w:eastAsia="en-US"/>
              </w:rPr>
              <w:t xml:space="preserve"> на </w:t>
            </w:r>
            <w:proofErr w:type="spellStart"/>
            <w:r>
              <w:rPr>
                <w:i/>
                <w:iCs/>
                <w:lang w:eastAsia="en-US"/>
              </w:rPr>
              <w:t>інформаційному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стенді</w:t>
            </w:r>
            <w:proofErr w:type="spellEnd"/>
            <w:r>
              <w:rPr>
                <w:i/>
                <w:iCs/>
                <w:lang w:eastAsia="en-US"/>
              </w:rPr>
              <w:t xml:space="preserve"> та </w:t>
            </w:r>
            <w:proofErr w:type="spellStart"/>
            <w:r>
              <w:rPr>
                <w:i/>
                <w:iCs/>
                <w:lang w:eastAsia="en-US"/>
              </w:rPr>
              <w:t>сайті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кафедри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rStyle w:val="a8"/>
                <w:lang w:eastAsia="en-US"/>
              </w:rPr>
              <w:t>https://kfsr.pnu.edu.ua</w:t>
            </w:r>
          </w:p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Також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шляхом </w:t>
            </w:r>
            <w:proofErr w:type="spellStart"/>
            <w:r>
              <w:rPr>
                <w:lang w:eastAsia="en-US"/>
              </w:rPr>
              <w:t>листування</w:t>
            </w:r>
            <w:proofErr w:type="spellEnd"/>
            <w:r>
              <w:rPr>
                <w:lang w:eastAsia="en-US"/>
              </w:rPr>
              <w:t xml:space="preserve"> через </w:t>
            </w:r>
            <w:proofErr w:type="spellStart"/>
            <w:r>
              <w:rPr>
                <w:lang w:eastAsia="en-US"/>
              </w:rPr>
              <w:t>електронну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пошту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зокрема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стосується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погодження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планів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змісту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робіт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науково-дослідних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завдань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752284" w:rsidRPr="00C67355" w:rsidTr="00BA7CC9">
        <w:tc>
          <w:tcPr>
            <w:tcW w:w="9571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52284" w:rsidRPr="00C67355" w:rsidTr="0099225A">
        <w:tc>
          <w:tcPr>
            <w:tcW w:w="9571" w:type="dxa"/>
            <w:gridSpan w:val="9"/>
          </w:tcPr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eastAsia="en-US"/>
              </w:rPr>
            </w:pPr>
            <w:r>
              <w:rPr>
                <w:u w:val="single"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вивч</w:t>
            </w:r>
            <w:r w:rsidR="00730D2A">
              <w:rPr>
                <w:lang w:eastAsia="en-US"/>
              </w:rPr>
              <w:t>ення</w:t>
            </w:r>
            <w:proofErr w:type="spellEnd"/>
            <w:r w:rsidR="00730D2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є </w:t>
            </w:r>
            <w:r w:rsidR="00FE28B7">
              <w:rPr>
                <w:rFonts w:eastAsia="TimesNewRomanPSMT"/>
                <w:lang w:val="uk-UA" w:eastAsia="en-US"/>
              </w:rPr>
              <w:t>техніка та методика ведення суперечки, дискусії та дебатів</w:t>
            </w:r>
            <w:r>
              <w:rPr>
                <w:rFonts w:eastAsia="TimesNewRomanPSMT"/>
                <w:lang w:eastAsia="en-US"/>
              </w:rPr>
              <w:t>.</w:t>
            </w:r>
          </w:p>
          <w:p w:rsidR="00752284" w:rsidRDefault="00752284" w:rsidP="00752284">
            <w:pPr>
              <w:ind w:firstLine="31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Програма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складається</w:t>
            </w:r>
            <w:proofErr w:type="spellEnd"/>
            <w:r>
              <w:rPr>
                <w:lang w:eastAsia="en-US"/>
              </w:rPr>
              <w:t xml:space="preserve"> з таких </w:t>
            </w:r>
            <w:proofErr w:type="spellStart"/>
            <w:r>
              <w:rPr>
                <w:u w:val="single"/>
                <w:lang w:eastAsia="en-US"/>
              </w:rPr>
              <w:t>змістових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модулів</w:t>
            </w:r>
            <w:proofErr w:type="spellEnd"/>
            <w:r>
              <w:rPr>
                <w:lang w:eastAsia="en-US"/>
              </w:rPr>
              <w:t>: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FE28B7">
              <w:rPr>
                <w:lang w:val="uk-UA" w:eastAsia="en-US"/>
              </w:rPr>
              <w:t>Теоретичні моделі і принципи суперечки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FE28B7">
              <w:rPr>
                <w:lang w:val="uk-UA" w:eastAsia="en-US"/>
              </w:rPr>
              <w:t>Логічні основи суперечки</w:t>
            </w:r>
            <w:r>
              <w:rPr>
                <w:lang w:eastAsia="en-US"/>
              </w:rPr>
              <w:t>.</w:t>
            </w:r>
          </w:p>
          <w:p w:rsidR="00752284" w:rsidRP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3. </w:t>
            </w:r>
            <w:r w:rsidR="00FE28B7">
              <w:rPr>
                <w:lang w:val="uk-UA" w:eastAsia="en-US"/>
              </w:rPr>
              <w:t>Психологічні підстави суперечки</w:t>
            </w:r>
            <w:r>
              <w:rPr>
                <w:lang w:val="uk-UA" w:eastAsia="en-US"/>
              </w:rPr>
              <w:t>.</w:t>
            </w:r>
          </w:p>
          <w:p w:rsidR="00752284" w:rsidRDefault="00752284" w:rsidP="00752284">
            <w:pPr>
              <w:keepNext/>
              <w:keepLines/>
              <w:jc w:val="both"/>
              <w:outlineLvl w:val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«</w:t>
            </w:r>
            <w:r w:rsidR="00FE28B7">
              <w:rPr>
                <w:bCs/>
                <w:color w:val="000000"/>
                <w:lang w:val="uk-UA" w:eastAsia="en-US"/>
              </w:rPr>
              <w:t>Еристика</w:t>
            </w:r>
            <w:r>
              <w:rPr>
                <w:bCs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bCs/>
                <w:color w:val="000000"/>
                <w:lang w:eastAsia="en-US"/>
              </w:rPr>
              <w:t>вивчається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разом </w:t>
            </w:r>
            <w:proofErr w:type="spellStart"/>
            <w:r>
              <w:rPr>
                <w:bCs/>
                <w:color w:val="000000"/>
                <w:lang w:eastAsia="en-US"/>
              </w:rPr>
              <w:t>із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іншими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філософськими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. Вона є теоретичною основою для </w:t>
            </w:r>
            <w:proofErr w:type="spellStart"/>
            <w:r>
              <w:rPr>
                <w:bCs/>
                <w:color w:val="000000"/>
                <w:lang w:eastAsia="en-US"/>
              </w:rPr>
              <w:t>забезпечення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набуття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слухачами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курсу </w:t>
            </w:r>
            <w:proofErr w:type="spellStart"/>
            <w:r>
              <w:rPr>
                <w:bCs/>
                <w:color w:val="000000"/>
                <w:lang w:eastAsia="en-US"/>
              </w:rPr>
              <w:t>інтегрованих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eastAsia="en-US"/>
              </w:rPr>
              <w:t>поглиблених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та системно </w:t>
            </w:r>
            <w:proofErr w:type="spellStart"/>
            <w:r>
              <w:rPr>
                <w:bCs/>
                <w:color w:val="000000"/>
                <w:lang w:eastAsia="en-US"/>
              </w:rPr>
              <w:t>упорядкованих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знань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щодо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особливостей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 w:rsidR="00FE28B7">
              <w:rPr>
                <w:bCs/>
                <w:color w:val="000000"/>
                <w:lang w:val="uk-UA" w:eastAsia="en-US"/>
              </w:rPr>
              <w:t>коректного ведення суперечки, дискусії та дебатів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752284" w:rsidRPr="00C67355" w:rsidRDefault="00752284" w:rsidP="00FE28B7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сприяє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формуванню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логічної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r w:rsidR="00FE28B7">
              <w:rPr>
                <w:lang w:val="uk-UA" w:eastAsia="en-US"/>
              </w:rPr>
              <w:t>ведення суперечки</w:t>
            </w:r>
            <w:r>
              <w:rPr>
                <w:lang w:eastAsia="en-US"/>
              </w:rPr>
              <w:t xml:space="preserve">, </w:t>
            </w:r>
            <w:r w:rsidR="00FE28B7">
              <w:rPr>
                <w:lang w:val="uk-UA" w:eastAsia="en-US"/>
              </w:rPr>
              <w:t>аргументації та критики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Окреслене</w:t>
            </w:r>
            <w:proofErr w:type="spellEnd"/>
            <w:r>
              <w:rPr>
                <w:lang w:eastAsia="en-US"/>
              </w:rPr>
              <w:t xml:space="preserve"> коло проблем є </w:t>
            </w:r>
            <w:proofErr w:type="spellStart"/>
            <w:r>
              <w:rPr>
                <w:lang w:eastAsia="en-US"/>
              </w:rPr>
              <w:t>важливим</w:t>
            </w:r>
            <w:proofErr w:type="spellEnd"/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засвоєння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набуття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практичних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навичок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навчаються</w:t>
            </w:r>
            <w:proofErr w:type="spellEnd"/>
            <w:r>
              <w:rPr>
                <w:lang w:eastAsia="en-US"/>
              </w:rPr>
              <w:t xml:space="preserve"> за </w:t>
            </w:r>
            <w:proofErr w:type="spellStart"/>
            <w:r>
              <w:rPr>
                <w:lang w:eastAsia="en-US"/>
              </w:rPr>
              <w:t>спеціальністю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lang w:val="uk-UA" w:eastAsia="en-US"/>
              </w:rPr>
              <w:t>Філософія</w:t>
            </w:r>
            <w:r>
              <w:rPr>
                <w:lang w:eastAsia="en-US"/>
              </w:rPr>
              <w:t>».</w:t>
            </w:r>
          </w:p>
        </w:tc>
      </w:tr>
      <w:tr w:rsidR="00752284" w:rsidRPr="00C67355" w:rsidTr="00485E11">
        <w:tc>
          <w:tcPr>
            <w:tcW w:w="9571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2E0844" w:rsidRPr="00730D2A" w:rsidRDefault="00E73804" w:rsidP="00E73804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73804">
              <w:rPr>
                <w:bCs/>
                <w:lang w:val="uk-UA"/>
              </w:rPr>
              <w:t xml:space="preserve">      </w:t>
            </w:r>
            <w:r w:rsidR="002E0844" w:rsidRPr="00967B81">
              <w:rPr>
                <w:bCs/>
                <w:u w:val="single"/>
              </w:rPr>
              <w:t>Метою</w:t>
            </w:r>
            <w:r w:rsidR="002E0844" w:rsidRPr="00967B81">
              <w:t xml:space="preserve"> </w:t>
            </w:r>
            <w:proofErr w:type="spellStart"/>
            <w:r w:rsidR="002E0844" w:rsidRPr="00967B81">
              <w:t>вивчення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навчальної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дисципліни</w:t>
            </w:r>
            <w:proofErr w:type="spellEnd"/>
            <w:r w:rsidR="002E0844" w:rsidRPr="00967B81">
              <w:t xml:space="preserve"> «</w:t>
            </w:r>
            <w:r w:rsidR="00FE28B7">
              <w:rPr>
                <w:lang w:val="uk-UA"/>
              </w:rPr>
              <w:t>Еристика</w:t>
            </w:r>
            <w:r w:rsidR="002E0844" w:rsidRPr="00967B81">
              <w:t xml:space="preserve">» </w:t>
            </w:r>
            <w:r w:rsidR="00FE28B7">
              <w:rPr>
                <w:szCs w:val="28"/>
                <w:lang w:val="uk-UA"/>
              </w:rPr>
              <w:t>із еристикою як теорією і практикою суперечки</w:t>
            </w:r>
            <w:r w:rsidR="00730D2A">
              <w:rPr>
                <w:szCs w:val="28"/>
                <w:lang w:val="uk-UA"/>
              </w:rPr>
              <w:t>.</w:t>
            </w:r>
          </w:p>
          <w:p w:rsidR="00752284" w:rsidRPr="002E0844" w:rsidRDefault="002E0844" w:rsidP="00471D4D">
            <w:pPr>
              <w:ind w:firstLine="310"/>
              <w:jc w:val="both"/>
              <w:rPr>
                <w:szCs w:val="22"/>
              </w:rPr>
            </w:pPr>
            <w:proofErr w:type="spellStart"/>
            <w:r w:rsidRPr="00967B81">
              <w:rPr>
                <w:bCs/>
                <w:u w:val="single"/>
              </w:rPr>
              <w:t>Основними</w:t>
            </w:r>
            <w:proofErr w:type="spellEnd"/>
            <w:r w:rsidRPr="00967B81">
              <w:rPr>
                <w:bCs/>
                <w:u w:val="single"/>
              </w:rPr>
              <w:t xml:space="preserve"> </w:t>
            </w:r>
            <w:proofErr w:type="spellStart"/>
            <w:r w:rsidRPr="00967B81">
              <w:rPr>
                <w:bCs/>
                <w:u w:val="single"/>
              </w:rPr>
              <w:t>цілями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вивчення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дисципліни</w:t>
            </w:r>
            <w:proofErr w:type="spellEnd"/>
            <w:r w:rsidRPr="00967B81">
              <w:t xml:space="preserve"> «</w:t>
            </w:r>
            <w:r w:rsidR="00FE28B7">
              <w:rPr>
                <w:lang w:val="uk-UA"/>
              </w:rPr>
              <w:t>Еристика</w:t>
            </w:r>
            <w:r w:rsidRPr="00967B81">
              <w:t xml:space="preserve">» є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</w:t>
            </w:r>
            <w:r w:rsidR="00BE6E01">
              <w:rPr>
                <w:lang w:val="uk-UA"/>
              </w:rPr>
              <w:t>філософського</w:t>
            </w:r>
            <w:r w:rsidRPr="00967B81">
              <w:t xml:space="preserve"> </w:t>
            </w:r>
            <w:proofErr w:type="spellStart"/>
            <w:r w:rsidRPr="00967B81">
              <w:t>світогляду</w:t>
            </w:r>
            <w:proofErr w:type="spellEnd"/>
            <w:r w:rsidRPr="00967B81">
              <w:t xml:space="preserve"> та </w:t>
            </w:r>
            <w:proofErr w:type="spellStart"/>
            <w:r w:rsidRPr="00967B81">
              <w:t>мислення</w:t>
            </w:r>
            <w:proofErr w:type="spellEnd"/>
            <w:r w:rsidRPr="00967B81">
              <w:t xml:space="preserve">, </w:t>
            </w:r>
            <w:proofErr w:type="spellStart"/>
            <w:r w:rsidRPr="00967B81">
              <w:t>оволодіння</w:t>
            </w:r>
            <w:proofErr w:type="spellEnd"/>
            <w:r w:rsidRPr="00967B81">
              <w:t xml:space="preserve"> студентами </w:t>
            </w:r>
            <w:proofErr w:type="spellStart"/>
            <w:r w:rsidRPr="00967B81">
              <w:t>сучасними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знаннями</w:t>
            </w:r>
            <w:proofErr w:type="spellEnd"/>
            <w:r w:rsidRPr="00967B81">
              <w:t xml:space="preserve"> з метою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і </w:t>
            </w:r>
            <w:proofErr w:type="spellStart"/>
            <w:r w:rsidRPr="00967B81">
              <w:t>розвитку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їх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професійної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компетенції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сфері</w:t>
            </w:r>
            <w:proofErr w:type="spellEnd"/>
            <w:r w:rsidRPr="00967B81">
              <w:t xml:space="preserve"> </w:t>
            </w:r>
            <w:r>
              <w:rPr>
                <w:lang w:val="uk-UA"/>
              </w:rPr>
              <w:t>філософії</w:t>
            </w:r>
            <w:r w:rsidRPr="00967B81">
              <w:t xml:space="preserve">, </w:t>
            </w:r>
            <w:proofErr w:type="spellStart"/>
            <w:r w:rsidRPr="00967B81">
              <w:t>отримання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необхідного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обсягу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теоретичних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</w:t>
            </w:r>
            <w:r>
              <w:t>нань</w:t>
            </w:r>
            <w:proofErr w:type="spellEnd"/>
            <w:r>
              <w:t xml:space="preserve">,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 w:rsidRPr="00967B81">
              <w:t>ознайомлення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</w:t>
            </w:r>
            <w:proofErr w:type="spellStart"/>
            <w:r>
              <w:t>і</w:t>
            </w:r>
            <w:r w:rsidRPr="00967B81">
              <w:t>з</w:t>
            </w:r>
            <w:proofErr w:type="spellEnd"/>
            <w:r w:rsidRPr="00967B81"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r w:rsidR="00FE28B7">
              <w:rPr>
                <w:lang w:val="uk-UA"/>
              </w:rPr>
              <w:t>коректного ведення суперечки, дискусії та дебатів</w:t>
            </w:r>
            <w:r>
              <w:t>.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752284" w:rsidRPr="001039A3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FE28B7" w:rsidRPr="00FE28B7" w:rsidRDefault="00FE28B7" w:rsidP="00FE28B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</w:t>
            </w:r>
            <w:r w:rsidRPr="00FE28B7">
              <w:rPr>
                <w:szCs w:val="28"/>
                <w:lang w:val="uk-UA"/>
              </w:rPr>
              <w:t>Оволодіння базовими моделями суперечки, підставами і принципами суперечки, стратегією і тактикою суперечки.</w:t>
            </w:r>
          </w:p>
          <w:p w:rsidR="00752284" w:rsidRPr="00FE28B7" w:rsidRDefault="00FE28B7" w:rsidP="00FE28B7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FE28B7">
              <w:rPr>
                <w:szCs w:val="28"/>
                <w:lang w:val="uk-UA"/>
              </w:rPr>
              <w:t>Вміння проводити логічний</w:t>
            </w:r>
            <w:r>
              <w:rPr>
                <w:szCs w:val="28"/>
                <w:lang w:val="uk-UA"/>
              </w:rPr>
              <w:t xml:space="preserve"> аналіз конфліктного діалогу, аргументації та критики, нейтралізувати прийоми впливу в суперечці. 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E0844" w:rsidRPr="00C67355" w:rsidTr="00E92E49">
        <w:tc>
          <w:tcPr>
            <w:tcW w:w="9571" w:type="dxa"/>
            <w:gridSpan w:val="9"/>
          </w:tcPr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</w:pPr>
            <w:proofErr w:type="spellStart"/>
            <w:r w:rsidRPr="00967B81">
              <w:t>Відповідно</w:t>
            </w:r>
            <w:proofErr w:type="spellEnd"/>
            <w:r w:rsidRPr="00967B81">
              <w:t xml:space="preserve"> до </w:t>
            </w:r>
            <w:proofErr w:type="spellStart"/>
            <w:r w:rsidRPr="00967B81">
              <w:t>вимог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освітньої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програми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повинні</w:t>
            </w:r>
            <w:proofErr w:type="spellEnd"/>
            <w:r w:rsidRPr="00967B81">
              <w:t>:</w:t>
            </w:r>
          </w:p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proofErr w:type="gramStart"/>
            <w:r w:rsidRPr="00967B81">
              <w:rPr>
                <w:iCs/>
                <w:u w:val="single"/>
              </w:rPr>
              <w:t>знати :</w:t>
            </w:r>
            <w:proofErr w:type="gramEnd"/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 xml:space="preserve">природу </w:t>
            </w:r>
            <w:proofErr w:type="spellStart"/>
            <w:r>
              <w:rPr>
                <w:szCs w:val="28"/>
                <w:lang w:val="uk-UA"/>
              </w:rPr>
              <w:t>супеерчки</w:t>
            </w:r>
            <w:proofErr w:type="spellEnd"/>
            <w:r>
              <w:rPr>
                <w:szCs w:val="28"/>
                <w:lang w:val="uk-UA"/>
              </w:rPr>
              <w:t>, її види і принципи ведення</w:t>
            </w:r>
            <w:r w:rsidR="002E0844">
              <w:rPr>
                <w:szCs w:val="28"/>
              </w:rPr>
              <w:t>;</w:t>
            </w:r>
            <w:r w:rsidR="002E0844"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базові моделі суперечки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роль запитань і відповідей у процесі ведення суперечки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теорію аргументації та її види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критику та її види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8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прийоми маніпулювання у суперечці і способи їх нейтралізації</w:t>
            </w:r>
            <w:r w:rsidR="002E0844" w:rsidRPr="00967B81">
              <w:rPr>
                <w:szCs w:val="28"/>
              </w:rPr>
              <w:t>;</w:t>
            </w:r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психологічні прийоми впливу у суперечці</w:t>
            </w:r>
            <w:r>
              <w:rPr>
                <w:szCs w:val="28"/>
              </w:rPr>
              <w:t>.</w:t>
            </w:r>
          </w:p>
          <w:p w:rsidR="002E0844" w:rsidRPr="00967B81" w:rsidRDefault="002E0844" w:rsidP="002E0844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</w:rPr>
            </w:pPr>
            <w:r w:rsidRPr="00967B81">
              <w:rPr>
                <w:iCs/>
                <w:szCs w:val="28"/>
              </w:rPr>
              <w:t xml:space="preserve">      </w:t>
            </w:r>
            <w:proofErr w:type="spellStart"/>
            <w:proofErr w:type="gramStart"/>
            <w:r w:rsidRPr="00967B81">
              <w:rPr>
                <w:iCs/>
                <w:szCs w:val="28"/>
                <w:u w:val="single"/>
              </w:rPr>
              <w:t>вміти</w:t>
            </w:r>
            <w:proofErr w:type="spellEnd"/>
            <w:r w:rsidRPr="00967B81">
              <w:rPr>
                <w:szCs w:val="28"/>
                <w:u w:val="single"/>
              </w:rPr>
              <w:t xml:space="preserve"> :</w:t>
            </w:r>
            <w:proofErr w:type="gramEnd"/>
          </w:p>
          <w:p w:rsidR="002E0844" w:rsidRPr="00967B81" w:rsidRDefault="002E0844" w:rsidP="002E0844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proofErr w:type="spellStart"/>
            <w:r w:rsidRPr="00967B81">
              <w:rPr>
                <w:szCs w:val="28"/>
              </w:rPr>
              <w:t>застосовувати</w:t>
            </w:r>
            <w:proofErr w:type="spellEnd"/>
            <w:r w:rsidRPr="00967B81">
              <w:rPr>
                <w:szCs w:val="28"/>
              </w:rPr>
              <w:t xml:space="preserve"> </w:t>
            </w:r>
            <w:r w:rsidR="00FE28B7">
              <w:rPr>
                <w:szCs w:val="28"/>
                <w:lang w:val="uk-UA"/>
              </w:rPr>
              <w:t>стратегії і тактики суперечки</w:t>
            </w:r>
            <w:r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використовувати</w:t>
            </w:r>
            <w:proofErr w:type="spellEnd"/>
            <w:r>
              <w:rPr>
                <w:szCs w:val="28"/>
              </w:rPr>
              <w:t xml:space="preserve"> </w:t>
            </w:r>
            <w:r w:rsidR="00FE28B7">
              <w:rPr>
                <w:szCs w:val="28"/>
                <w:lang w:val="uk-UA"/>
              </w:rPr>
              <w:t>принципи та методики ведення суперечки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3" w:lineRule="exact"/>
              <w:rPr>
                <w:rFonts w:ascii="Symbol" w:hAnsi="Symbol" w:cs="Symbol"/>
                <w:szCs w:val="28"/>
              </w:rPr>
            </w:pPr>
          </w:p>
          <w:p w:rsidR="002E0844" w:rsidRPr="00FE28B7" w:rsidRDefault="002E0844" w:rsidP="00FE28B7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послуговуватися</w:t>
            </w:r>
            <w:proofErr w:type="spellEnd"/>
            <w:r>
              <w:rPr>
                <w:szCs w:val="28"/>
              </w:rPr>
              <w:t xml:space="preserve"> </w:t>
            </w:r>
            <w:r w:rsidR="00FE28B7">
              <w:rPr>
                <w:szCs w:val="28"/>
                <w:lang w:val="uk-UA"/>
              </w:rPr>
              <w:t>теорією аргументації і критики</w:t>
            </w:r>
            <w:r w:rsidR="00FE28B7">
              <w:rPr>
                <w:szCs w:val="28"/>
              </w:rPr>
              <w:t>.</w:t>
            </w:r>
          </w:p>
        </w:tc>
      </w:tr>
      <w:tr w:rsidR="002E0844" w:rsidRPr="00C67355" w:rsidTr="00F62131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E0844" w:rsidRPr="00C67355" w:rsidTr="00235C39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390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390" w:type="dxa"/>
            <w:gridSpan w:val="6"/>
          </w:tcPr>
          <w:p w:rsidR="002E0844" w:rsidRPr="000C46E3" w:rsidRDefault="00FE28B7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390" w:type="dxa"/>
            <w:gridSpan w:val="6"/>
          </w:tcPr>
          <w:p w:rsidR="002E0844" w:rsidRPr="00C67355" w:rsidRDefault="00FE28B7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390" w:type="dxa"/>
            <w:gridSpan w:val="6"/>
          </w:tcPr>
          <w:p w:rsidR="002E0844" w:rsidRPr="00C67355" w:rsidRDefault="002E0844" w:rsidP="00D959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959FE">
              <w:rPr>
                <w:lang w:val="uk-UA"/>
              </w:rPr>
              <w:t>4</w:t>
            </w:r>
          </w:p>
        </w:tc>
      </w:tr>
      <w:tr w:rsidR="002E0844" w:rsidRPr="00C67355" w:rsidTr="00453A0B">
        <w:tc>
          <w:tcPr>
            <w:tcW w:w="9571" w:type="dxa"/>
            <w:gridSpan w:val="9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D3701" w:rsidRPr="00C67355" w:rsidTr="00DD3701">
        <w:tc>
          <w:tcPr>
            <w:tcW w:w="2764" w:type="dxa"/>
            <w:gridSpan w:val="2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10" w:type="dxa"/>
            <w:gridSpan w:val="3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03" w:type="dxa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4" w:type="dxa"/>
            <w:gridSpan w:val="3"/>
          </w:tcPr>
          <w:p w:rsidR="002E0844" w:rsidRPr="00483A45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D3701" w:rsidRPr="00C67355" w:rsidTr="00DD3701">
        <w:tc>
          <w:tcPr>
            <w:tcW w:w="2764" w:type="dxa"/>
            <w:gridSpan w:val="2"/>
          </w:tcPr>
          <w:p w:rsidR="002E0844" w:rsidRPr="002E0844" w:rsidRDefault="00FE28B7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E0844" w:rsidRPr="002E0844">
              <w:rPr>
                <w:lang w:val="uk-UA"/>
              </w:rPr>
              <w:t>-й</w:t>
            </w:r>
          </w:p>
        </w:tc>
        <w:tc>
          <w:tcPr>
            <w:tcW w:w="3010" w:type="dxa"/>
            <w:gridSpan w:val="3"/>
          </w:tcPr>
          <w:p w:rsidR="002E0844" w:rsidRPr="002E0844" w:rsidRDefault="002E0844" w:rsidP="002E0844">
            <w:pPr>
              <w:jc w:val="center"/>
              <w:rPr>
                <w:lang w:val="uk-UA"/>
              </w:rPr>
            </w:pPr>
            <w:r w:rsidRPr="002E0844">
              <w:rPr>
                <w:lang w:val="uk-UA"/>
              </w:rPr>
              <w:t>033 Філософія</w:t>
            </w:r>
          </w:p>
        </w:tc>
        <w:tc>
          <w:tcPr>
            <w:tcW w:w="1403" w:type="dxa"/>
          </w:tcPr>
          <w:p w:rsidR="002E0844" w:rsidRPr="00C67355" w:rsidRDefault="00FE28B7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E0844">
              <w:rPr>
                <w:lang w:val="uk-UA"/>
              </w:rPr>
              <w:t>-й</w:t>
            </w:r>
          </w:p>
        </w:tc>
        <w:tc>
          <w:tcPr>
            <w:tcW w:w="2394" w:type="dxa"/>
            <w:gridSpan w:val="3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E0844" w:rsidRPr="00C67355" w:rsidTr="002A53DA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E0844" w:rsidRPr="00C67355" w:rsidTr="00DD3701">
        <w:tc>
          <w:tcPr>
            <w:tcW w:w="2764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3" w:type="dxa"/>
            <w:gridSpan w:val="2"/>
          </w:tcPr>
          <w:p w:rsidR="002E0844" w:rsidRPr="00AC76DC" w:rsidRDefault="002E0844" w:rsidP="002E0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6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E0844" w:rsidRPr="00C67355" w:rsidTr="00DD3701">
        <w:tc>
          <w:tcPr>
            <w:tcW w:w="2764" w:type="dxa"/>
            <w:gridSpan w:val="2"/>
          </w:tcPr>
          <w:p w:rsidR="002E0844" w:rsidRPr="00AC76DC" w:rsidRDefault="002E0844" w:rsidP="00FD310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="00FD3100">
              <w:rPr>
                <w:lang w:val="uk-UA"/>
              </w:rPr>
              <w:t>Поняття і предмет еристики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2. </w:t>
            </w:r>
            <w:r w:rsidR="00FD3100">
              <w:rPr>
                <w:lang w:val="uk-UA"/>
              </w:rPr>
              <w:t>Базові моделі суперечки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3. </w:t>
            </w:r>
            <w:r w:rsidR="00FD3100">
              <w:rPr>
                <w:lang w:val="uk-UA"/>
              </w:rPr>
              <w:t>Підстави і принципи суперечки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4. </w:t>
            </w:r>
            <w:r w:rsidR="00FD3100">
              <w:rPr>
                <w:lang w:val="uk-UA"/>
              </w:rPr>
              <w:t>Застосування законів логіки у суперечці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5. </w:t>
            </w:r>
            <w:r w:rsidR="00FD3100">
              <w:rPr>
                <w:lang w:val="uk-UA"/>
              </w:rPr>
              <w:t xml:space="preserve">Запитання і </w:t>
            </w:r>
            <w:r w:rsidR="00FD3100">
              <w:rPr>
                <w:lang w:val="uk-UA"/>
              </w:rPr>
              <w:lastRenderedPageBreak/>
              <w:t>відповіді у суперечці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6. </w:t>
            </w:r>
            <w:r w:rsidR="00FD3100">
              <w:rPr>
                <w:lang w:val="uk-UA"/>
              </w:rPr>
              <w:t>Аргументація і критика у суперечці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7. </w:t>
            </w:r>
            <w:r w:rsidR="00FD3100">
              <w:rPr>
                <w:lang w:val="uk-UA"/>
              </w:rPr>
              <w:t>Правила і помилки в суперечці</w:t>
            </w:r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  <w:t xml:space="preserve">Тема 8. </w:t>
            </w:r>
            <w:r w:rsidR="00FD3100">
              <w:rPr>
                <w:lang w:val="uk-UA"/>
              </w:rPr>
              <w:t>Прийоми впливу в суперечці.</w:t>
            </w:r>
          </w:p>
        </w:tc>
        <w:tc>
          <w:tcPr>
            <w:tcW w:w="1343" w:type="dxa"/>
            <w:gridSpan w:val="2"/>
          </w:tcPr>
          <w:p w:rsidR="002E0844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Лекції,</w:t>
            </w:r>
            <w:r>
              <w:rPr>
                <w:lang w:val="uk-UA"/>
              </w:rPr>
              <w:br/>
              <w:t xml:space="preserve">практичні </w:t>
            </w:r>
            <w:r>
              <w:rPr>
                <w:lang w:val="uk-UA"/>
              </w:rPr>
              <w:br/>
              <w:t>заняття,</w:t>
            </w:r>
          </w:p>
          <w:p w:rsidR="002E0844" w:rsidRPr="00AC76DC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робота.</w:t>
            </w:r>
          </w:p>
        </w:tc>
        <w:tc>
          <w:tcPr>
            <w:tcW w:w="1667" w:type="dxa"/>
          </w:tcPr>
          <w:p w:rsidR="002E0844" w:rsidRDefault="002E0844" w:rsidP="00D959FE">
            <w:pPr>
              <w:shd w:val="clear" w:color="auto" w:fill="FFFFFF"/>
              <w:rPr>
                <w:szCs w:val="28"/>
              </w:rPr>
            </w:pPr>
            <w:r w:rsidRPr="006C513B">
              <w:rPr>
                <w:szCs w:val="28"/>
              </w:rPr>
              <w:t xml:space="preserve">Гнатюк Я. С. </w:t>
            </w:r>
            <w:r w:rsidR="00FD3100">
              <w:rPr>
                <w:szCs w:val="28"/>
                <w:lang w:val="uk-UA"/>
              </w:rPr>
              <w:t>Еристика та евристика</w:t>
            </w:r>
            <w:r>
              <w:rPr>
                <w:szCs w:val="28"/>
              </w:rPr>
              <w:t xml:space="preserve"> / Я. С. Гнатюк. – </w:t>
            </w:r>
            <w:proofErr w:type="spellStart"/>
            <w:r w:rsidRPr="006C513B">
              <w:rPr>
                <w:szCs w:val="28"/>
              </w:rPr>
              <w:t>Івано-Франківськ</w:t>
            </w:r>
            <w:proofErr w:type="spellEnd"/>
            <w:r w:rsidRPr="006C513B">
              <w:rPr>
                <w:szCs w:val="28"/>
              </w:rPr>
              <w:t xml:space="preserve">: </w:t>
            </w:r>
            <w:r w:rsidR="00D959FE">
              <w:rPr>
                <w:szCs w:val="28"/>
                <w:lang w:val="uk-UA"/>
              </w:rPr>
              <w:t>Симфонія</w:t>
            </w:r>
            <w:r w:rsidRPr="006C513B">
              <w:rPr>
                <w:szCs w:val="28"/>
              </w:rPr>
              <w:t>,</w:t>
            </w:r>
            <w:r w:rsidR="00E77794">
              <w:rPr>
                <w:szCs w:val="28"/>
                <w:lang w:val="uk-UA"/>
              </w:rPr>
              <w:t xml:space="preserve"> </w:t>
            </w:r>
            <w:r w:rsidRPr="006C513B">
              <w:rPr>
                <w:szCs w:val="28"/>
              </w:rPr>
              <w:t>20</w:t>
            </w:r>
            <w:r w:rsidR="00FD3100">
              <w:rPr>
                <w:szCs w:val="28"/>
                <w:lang w:val="uk-UA"/>
              </w:rPr>
              <w:t>13</w:t>
            </w:r>
            <w:r w:rsidRPr="006C513B">
              <w:rPr>
                <w:szCs w:val="28"/>
              </w:rPr>
              <w:t xml:space="preserve">. </w:t>
            </w:r>
          </w:p>
          <w:p w:rsidR="00D959FE" w:rsidRDefault="00D959FE" w:rsidP="00D959FE">
            <w:pPr>
              <w:shd w:val="clear" w:color="auto" w:fill="FFFFFF"/>
              <w:rPr>
                <w:szCs w:val="28"/>
              </w:rPr>
            </w:pPr>
          </w:p>
          <w:p w:rsidR="002E0844" w:rsidRDefault="00FD3100" w:rsidP="00FD3100">
            <w:pPr>
              <w:shd w:val="clear" w:color="auto" w:fill="FFFFFF"/>
              <w:rPr>
                <w:szCs w:val="28"/>
              </w:rPr>
            </w:pPr>
            <w:r w:rsidRPr="007E1277">
              <w:rPr>
                <w:szCs w:val="28"/>
              </w:rPr>
              <w:t xml:space="preserve">Хоменко І. В. </w:t>
            </w:r>
            <w:proofErr w:type="spellStart"/>
            <w:r w:rsidRPr="007E1277">
              <w:rPr>
                <w:szCs w:val="28"/>
              </w:rPr>
              <w:t>Еристика</w:t>
            </w:r>
            <w:proofErr w:type="spellEnd"/>
            <w:r w:rsidRPr="007E1277">
              <w:rPr>
                <w:szCs w:val="28"/>
              </w:rPr>
              <w:t xml:space="preserve">: </w:t>
            </w:r>
            <w:proofErr w:type="spellStart"/>
            <w:r w:rsidRPr="007E1277">
              <w:rPr>
                <w:szCs w:val="28"/>
              </w:rPr>
              <w:t>мистецтво</w:t>
            </w:r>
            <w:proofErr w:type="spellEnd"/>
            <w:r w:rsidRPr="007E1277">
              <w:rPr>
                <w:szCs w:val="28"/>
              </w:rPr>
              <w:t xml:space="preserve"> </w:t>
            </w:r>
            <w:proofErr w:type="spellStart"/>
            <w:r w:rsidRPr="007E1277">
              <w:rPr>
                <w:szCs w:val="28"/>
              </w:rPr>
              <w:t>полеміки</w:t>
            </w:r>
            <w:proofErr w:type="spellEnd"/>
            <w:r w:rsidRPr="007E1277">
              <w:rPr>
                <w:szCs w:val="28"/>
              </w:rPr>
              <w:t xml:space="preserve"> / І. В. Хоменко. – К.: </w:t>
            </w:r>
            <w:proofErr w:type="spellStart"/>
            <w:r w:rsidRPr="007E1277">
              <w:rPr>
                <w:szCs w:val="28"/>
              </w:rPr>
              <w:lastRenderedPageBreak/>
              <w:t>Юрінком</w:t>
            </w:r>
            <w:proofErr w:type="spellEnd"/>
            <w:r w:rsidRPr="007E1277">
              <w:rPr>
                <w:szCs w:val="28"/>
              </w:rPr>
              <w:t xml:space="preserve"> </w:t>
            </w:r>
            <w:proofErr w:type="spellStart"/>
            <w:r w:rsidRPr="007E1277">
              <w:rPr>
                <w:szCs w:val="28"/>
              </w:rPr>
              <w:t>Інтер</w:t>
            </w:r>
            <w:proofErr w:type="spellEnd"/>
            <w:r w:rsidRPr="007E1277">
              <w:rPr>
                <w:szCs w:val="28"/>
              </w:rPr>
              <w:t>,</w:t>
            </w:r>
            <w:r w:rsidRPr="007E1277">
              <w:rPr>
                <w:szCs w:val="28"/>
              </w:rPr>
              <w:tab/>
              <w:t xml:space="preserve"> 2001.</w:t>
            </w:r>
          </w:p>
          <w:p w:rsidR="00FD3100" w:rsidRDefault="00FD3100" w:rsidP="00FD3100">
            <w:pPr>
              <w:shd w:val="clear" w:color="auto" w:fill="FFFFFF"/>
              <w:rPr>
                <w:bCs/>
                <w:szCs w:val="28"/>
                <w:lang w:val="uk-UA"/>
              </w:rPr>
            </w:pPr>
          </w:p>
          <w:p w:rsidR="00FD3100" w:rsidRPr="00D959FE" w:rsidRDefault="00FD3100" w:rsidP="00FD3100">
            <w:pPr>
              <w:shd w:val="clear" w:color="auto" w:fill="FFFFFF"/>
              <w:rPr>
                <w:bCs/>
                <w:szCs w:val="28"/>
                <w:lang w:val="uk-UA"/>
              </w:rPr>
            </w:pPr>
            <w:r w:rsidRPr="007E1277">
              <w:rPr>
                <w:szCs w:val="28"/>
              </w:rPr>
              <w:t xml:space="preserve">Хоменко І. В. </w:t>
            </w:r>
            <w:proofErr w:type="spellStart"/>
            <w:r w:rsidRPr="007E1277">
              <w:rPr>
                <w:szCs w:val="28"/>
              </w:rPr>
              <w:t>Еристика</w:t>
            </w:r>
            <w:proofErr w:type="spellEnd"/>
            <w:r w:rsidRPr="007E1277">
              <w:rPr>
                <w:szCs w:val="28"/>
              </w:rPr>
              <w:t xml:space="preserve"> / І. В. Хоменко. – К.: ЦУЛ, 2008.</w:t>
            </w:r>
          </w:p>
        </w:tc>
        <w:tc>
          <w:tcPr>
            <w:tcW w:w="1595" w:type="dxa"/>
            <w:gridSpan w:val="2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proofErr w:type="spellStart"/>
            <w:r>
              <w:t>ідготовка</w:t>
            </w:r>
            <w:proofErr w:type="spellEnd"/>
            <w:r>
              <w:t xml:space="preserve"> конспекту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та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>, 2 год.</w:t>
            </w:r>
          </w:p>
        </w:tc>
        <w:tc>
          <w:tcPr>
            <w:tcW w:w="905" w:type="dxa"/>
          </w:tcPr>
          <w:p w:rsidR="002E0844" w:rsidRPr="00AC76DC" w:rsidRDefault="00E77794" w:rsidP="002E0844">
            <w:pPr>
              <w:rPr>
                <w:lang w:val="uk-UA"/>
              </w:rPr>
            </w:pPr>
            <w:r>
              <w:t xml:space="preserve">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вибірково</w:t>
            </w:r>
            <w:proofErr w:type="spellEnd"/>
            <w:r>
              <w:t xml:space="preserve">,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опитування</w:t>
            </w:r>
            <w:proofErr w:type="spellEnd"/>
            <w:r>
              <w:t xml:space="preserve"> на </w:t>
            </w:r>
            <w:proofErr w:type="spellStart"/>
            <w:r>
              <w:t>семінарі</w:t>
            </w:r>
            <w:proofErr w:type="spellEnd"/>
            <w:r>
              <w:t>).</w:t>
            </w:r>
          </w:p>
        </w:tc>
        <w:tc>
          <w:tcPr>
            <w:tcW w:w="1297" w:type="dxa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t>Згідно з розкладом.</w:t>
            </w:r>
          </w:p>
        </w:tc>
      </w:tr>
      <w:tr w:rsidR="002E0844" w:rsidRPr="00C67355" w:rsidTr="00102F6A">
        <w:tc>
          <w:tcPr>
            <w:tcW w:w="9571" w:type="dxa"/>
            <w:gridSpan w:val="9"/>
          </w:tcPr>
          <w:p w:rsidR="002E0844" w:rsidRPr="00151BC4" w:rsidRDefault="002E0844" w:rsidP="002E08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E0844" w:rsidRPr="00C67355" w:rsidTr="00DD3701">
        <w:tc>
          <w:tcPr>
            <w:tcW w:w="4107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64" w:type="dxa"/>
            <w:gridSpan w:val="5"/>
          </w:tcPr>
          <w:p w:rsidR="002E0844" w:rsidRDefault="00FD3100" w:rsidP="00FD3100">
            <w:pPr>
              <w:jc w:val="both"/>
            </w:pPr>
            <w:r>
              <w:t xml:space="preserve">Структура </w:t>
            </w:r>
            <w:proofErr w:type="spellStart"/>
            <w:r>
              <w:t>розподілу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у </w:t>
            </w:r>
            <w:proofErr w:type="spellStart"/>
            <w:r>
              <w:t>ході</w:t>
            </w:r>
            <w:proofErr w:type="spellEnd"/>
            <w:r>
              <w:t xml:space="preserve"> </w:t>
            </w:r>
            <w:proofErr w:type="spellStart"/>
            <w:r>
              <w:t>аудиторно-самостійної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(</w:t>
            </w:r>
            <w:proofErr w:type="spellStart"/>
            <w:r>
              <w:t>вересень</w:t>
            </w:r>
            <w:proofErr w:type="spellEnd"/>
            <w:r>
              <w:t xml:space="preserve"> – </w:t>
            </w:r>
            <w:proofErr w:type="spellStart"/>
            <w:r>
              <w:t>грудень</w:t>
            </w:r>
            <w:proofErr w:type="spellEnd"/>
            <w:r>
              <w:t xml:space="preserve">): 1) </w:t>
            </w:r>
            <w:proofErr w:type="spellStart"/>
            <w:r>
              <w:t>присутність</w:t>
            </w:r>
            <w:proofErr w:type="spellEnd"/>
            <w:r>
              <w:t xml:space="preserve"> на </w:t>
            </w:r>
            <w:proofErr w:type="spellStart"/>
            <w:r>
              <w:t>лекційному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 – 1 бал; 2) </w:t>
            </w:r>
            <w:proofErr w:type="spellStart"/>
            <w:r>
              <w:t>усні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– максимально 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дев’ять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занять); 3) </w:t>
            </w: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(в межах </w:t>
            </w:r>
            <w:proofErr w:type="spellStart"/>
            <w:r>
              <w:t>семінарських</w:t>
            </w:r>
            <w:proofErr w:type="spellEnd"/>
            <w:r>
              <w:t xml:space="preserve"> занять) – максимально 3 </w:t>
            </w:r>
            <w:proofErr w:type="spellStart"/>
            <w:r>
              <w:t>бали</w:t>
            </w:r>
            <w:proofErr w:type="spellEnd"/>
            <w:r>
              <w:t xml:space="preserve"> за </w:t>
            </w:r>
            <w:proofErr w:type="spellStart"/>
            <w:r>
              <w:t>кожну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. 4) контроль за </w:t>
            </w:r>
            <w:proofErr w:type="spellStart"/>
            <w:r>
              <w:t>самостійною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– </w:t>
            </w:r>
            <w:proofErr w:type="spellStart"/>
            <w:r>
              <w:t>здійснюється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</w:t>
            </w:r>
            <w:proofErr w:type="gramStart"/>
            <w:r>
              <w:t>у поза</w:t>
            </w:r>
            <w:proofErr w:type="gramEnd"/>
            <w:r>
              <w:t xml:space="preserve"> </w:t>
            </w:r>
            <w:proofErr w:type="spellStart"/>
            <w:r>
              <w:t>аудиторний</w:t>
            </w:r>
            <w:proofErr w:type="spellEnd"/>
            <w:r>
              <w:t xml:space="preserve"> час </w:t>
            </w:r>
            <w:proofErr w:type="spellStart"/>
            <w:r>
              <w:t>із</w:t>
            </w:r>
            <w:proofErr w:type="spellEnd"/>
            <w:r>
              <w:t xml:space="preserve"> наперед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тем.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 </w:t>
            </w: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іспит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): 1) </w:t>
            </w:r>
            <w:proofErr w:type="spellStart"/>
            <w:r>
              <w:t>теоретичний</w:t>
            </w:r>
            <w:proofErr w:type="spellEnd"/>
            <w:r>
              <w:t xml:space="preserve"> тур – </w:t>
            </w:r>
            <w:proofErr w:type="spellStart"/>
            <w:r>
              <w:t>письмовий</w:t>
            </w:r>
            <w:proofErr w:type="spellEnd"/>
            <w:r>
              <w:t xml:space="preserve"> </w:t>
            </w:r>
            <w:proofErr w:type="spellStart"/>
            <w:r>
              <w:t>іспит</w:t>
            </w:r>
            <w:proofErr w:type="spellEnd"/>
            <w:r>
              <w:t xml:space="preserve"> (в </w:t>
            </w:r>
            <w:proofErr w:type="spellStart"/>
            <w:r>
              <w:t>екзаменаційному</w:t>
            </w:r>
            <w:proofErr w:type="spellEnd"/>
            <w:r>
              <w:t xml:space="preserve"> </w:t>
            </w:r>
            <w:proofErr w:type="spellStart"/>
            <w:r>
              <w:t>білеті</w:t>
            </w:r>
            <w:proofErr w:type="spellEnd"/>
            <w:r>
              <w:t xml:space="preserve"> 4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максимально </w:t>
            </w:r>
            <w:proofErr w:type="spellStart"/>
            <w:r>
              <w:t>оцінюються</w:t>
            </w:r>
            <w:proofErr w:type="spellEnd"/>
            <w:r>
              <w:t xml:space="preserve"> –50 </w:t>
            </w:r>
            <w:proofErr w:type="spellStart"/>
            <w:r>
              <w:t>балів</w:t>
            </w:r>
            <w:proofErr w:type="spellEnd"/>
            <w:r>
              <w:t xml:space="preserve"> (</w:t>
            </w:r>
            <w:proofErr w:type="spellStart"/>
            <w:r>
              <w:t>питання</w:t>
            </w:r>
            <w:proofErr w:type="spellEnd"/>
            <w:r>
              <w:t xml:space="preserve"> тем 1-10 - по 13 </w:t>
            </w:r>
            <w:proofErr w:type="spellStart"/>
            <w:r>
              <w:t>балів</w:t>
            </w:r>
            <w:proofErr w:type="spellEnd"/>
            <w:r>
              <w:t xml:space="preserve">; </w:t>
            </w:r>
            <w:proofErr w:type="spellStart"/>
            <w:r>
              <w:t>питання</w:t>
            </w:r>
            <w:proofErr w:type="spellEnd"/>
            <w:r>
              <w:t xml:space="preserve"> тем 11-13 – по 12 </w:t>
            </w:r>
            <w:proofErr w:type="spellStart"/>
            <w:r>
              <w:t>балів</w:t>
            </w:r>
            <w:proofErr w:type="spellEnd"/>
            <w:r>
              <w:t>).</w:t>
            </w:r>
          </w:p>
          <w:p w:rsidR="00FD3100" w:rsidRPr="00C67355" w:rsidRDefault="00FD3100" w:rsidP="00FD3100">
            <w:pPr>
              <w:jc w:val="both"/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бажанням</w:t>
            </w:r>
            <w:proofErr w:type="spellEnd"/>
            <w:r>
              <w:t xml:space="preserve"> студента </w:t>
            </w:r>
            <w:proofErr w:type="spellStart"/>
            <w:r>
              <w:t>можна</w:t>
            </w:r>
            <w:proofErr w:type="spellEnd"/>
            <w:r>
              <w:t xml:space="preserve"> пройти </w:t>
            </w:r>
            <w:proofErr w:type="spellStart"/>
            <w:r>
              <w:t>підсумковий</w:t>
            </w:r>
            <w:proofErr w:type="spellEnd"/>
            <w:r>
              <w:t xml:space="preserve"> контроль (</w:t>
            </w:r>
            <w:proofErr w:type="spellStart"/>
            <w:r>
              <w:t>екзамен</w:t>
            </w:r>
            <w:proofErr w:type="spellEnd"/>
            <w:r>
              <w:t xml:space="preserve">) у </w:t>
            </w:r>
            <w:proofErr w:type="spellStart"/>
            <w:r>
              <w:t>тестовій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). У </w:t>
            </w:r>
            <w:proofErr w:type="spellStart"/>
            <w:r>
              <w:t>тесті</w:t>
            </w:r>
            <w:proofErr w:type="spellEnd"/>
            <w:r>
              <w:t xml:space="preserve"> 50 </w:t>
            </w:r>
            <w:proofErr w:type="spellStart"/>
            <w:r>
              <w:t>запитань</w:t>
            </w:r>
            <w:proofErr w:type="spellEnd"/>
            <w:r>
              <w:t xml:space="preserve">. </w:t>
            </w:r>
            <w:proofErr w:type="spellStart"/>
            <w:r>
              <w:t>Кожна</w:t>
            </w:r>
            <w:proofErr w:type="spellEnd"/>
            <w:r>
              <w:t xml:space="preserve"> правильна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1 бал. Час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– 50 </w:t>
            </w:r>
            <w:proofErr w:type="spellStart"/>
            <w:r>
              <w:t>хвилин</w:t>
            </w:r>
            <w:proofErr w:type="spellEnd"/>
            <w:r>
              <w:t xml:space="preserve">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50.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100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2E0844" w:rsidRPr="00C67355" w:rsidTr="00DD3701">
        <w:tc>
          <w:tcPr>
            <w:tcW w:w="4107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64" w:type="dxa"/>
            <w:gridSpan w:val="5"/>
          </w:tcPr>
          <w:p w:rsidR="002E0844" w:rsidRPr="00C67355" w:rsidRDefault="00FD3100" w:rsidP="00D62146">
            <w:pPr>
              <w:jc w:val="both"/>
              <w:rPr>
                <w:lang w:val="uk-UA"/>
              </w:rPr>
            </w:pP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Робота 1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1-</w:t>
            </w:r>
            <w:r w:rsidR="00D62146">
              <w:rPr>
                <w:lang w:val="uk-UA"/>
              </w:rPr>
              <w:t>4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). Робота 2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тем </w:t>
            </w:r>
            <w:r w:rsidR="00D62146">
              <w:rPr>
                <w:lang w:val="uk-UA"/>
              </w:rPr>
              <w:t>5</w:t>
            </w:r>
            <w:r>
              <w:rPr>
                <w:lang w:val="uk-UA"/>
              </w:rPr>
              <w:t>-</w:t>
            </w:r>
            <w:r w:rsidR="00D62146">
              <w:rPr>
                <w:lang w:val="uk-UA"/>
              </w:rPr>
              <w:t>8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)</w:t>
            </w:r>
          </w:p>
        </w:tc>
      </w:tr>
      <w:tr w:rsidR="00DD3701" w:rsidRPr="00C67355" w:rsidTr="00DD3701">
        <w:tc>
          <w:tcPr>
            <w:tcW w:w="4107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464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r>
              <w:t xml:space="preserve">В межах 9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 є </w:t>
            </w:r>
            <w:proofErr w:type="spellStart"/>
            <w:r>
              <w:t>обов’язковими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усних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як </w:t>
            </w:r>
            <w:proofErr w:type="spellStart"/>
            <w:r>
              <w:t>кожна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по 3 </w:t>
            </w:r>
            <w:proofErr w:type="spellStart"/>
            <w:r>
              <w:t>бали</w:t>
            </w:r>
            <w:proofErr w:type="spellEnd"/>
            <w:r>
              <w:t xml:space="preserve">.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покликані</w:t>
            </w:r>
            <w:proofErr w:type="spellEnd"/>
            <w:r>
              <w:t xml:space="preserve"> </w:t>
            </w:r>
            <w:proofErr w:type="spellStart"/>
            <w:r>
              <w:t>утвердити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конкретні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з </w:t>
            </w:r>
            <w:proofErr w:type="spellStart"/>
            <w:r>
              <w:t>обраних</w:t>
            </w:r>
            <w:proofErr w:type="spellEnd"/>
            <w:r>
              <w:t xml:space="preserve"> тем,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, </w:t>
            </w:r>
            <w:proofErr w:type="spellStart"/>
            <w:r>
              <w:t>умінню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на </w:t>
            </w:r>
            <w:proofErr w:type="spellStart"/>
            <w:r>
              <w:lastRenderedPageBreak/>
              <w:t>актуальні</w:t>
            </w:r>
            <w:proofErr w:type="spellEnd"/>
            <w:r>
              <w:t xml:space="preserve">, </w:t>
            </w:r>
            <w:proofErr w:type="spellStart"/>
            <w:r>
              <w:t>визначені</w:t>
            </w:r>
            <w:proofErr w:type="spellEnd"/>
            <w:r>
              <w:t xml:space="preserve"> теми, </w:t>
            </w:r>
            <w:proofErr w:type="spellStart"/>
            <w:r>
              <w:t>займати</w:t>
            </w:r>
            <w:proofErr w:type="spellEnd"/>
            <w:r>
              <w:t xml:space="preserve"> </w:t>
            </w:r>
            <w:proofErr w:type="spellStart"/>
            <w:r>
              <w:t>чітку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та </w:t>
            </w:r>
            <w:proofErr w:type="spellStart"/>
            <w:r>
              <w:t>громадянську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</w:p>
        </w:tc>
      </w:tr>
      <w:tr w:rsidR="00DD3701" w:rsidRPr="00C67355" w:rsidTr="00DD3701">
        <w:tc>
          <w:tcPr>
            <w:tcW w:w="4107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464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: 1)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готувати</w:t>
            </w:r>
            <w:proofErr w:type="spellEnd"/>
            <w:r>
              <w:t xml:space="preserve">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Вітається</w:t>
            </w:r>
            <w:proofErr w:type="spellEnd"/>
            <w:r>
              <w:t xml:space="preserve"> </w:t>
            </w:r>
            <w:proofErr w:type="spellStart"/>
            <w:r>
              <w:t>якісна</w:t>
            </w:r>
            <w:proofErr w:type="spellEnd"/>
            <w:r>
              <w:t xml:space="preserve">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для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</w:t>
            </w:r>
            <w:proofErr w:type="spellStart"/>
            <w:r>
              <w:t>Візуалізувана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на </w:t>
            </w:r>
            <w:proofErr w:type="spellStart"/>
            <w:r>
              <w:t>семінарське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40 </w:t>
            </w:r>
            <w:proofErr w:type="spellStart"/>
            <w:r>
              <w:t>слайдів</w:t>
            </w:r>
            <w:proofErr w:type="spellEnd"/>
            <w:r>
              <w:t xml:space="preserve">. </w:t>
            </w:r>
            <w:proofErr w:type="spellStart"/>
            <w:r>
              <w:t>Однак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</w:t>
            </w:r>
            <w:proofErr w:type="spellStart"/>
            <w:r>
              <w:t>пам’ятати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візуалізована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доповнює</w:t>
            </w:r>
            <w:proofErr w:type="spellEnd"/>
            <w:r>
              <w:t xml:space="preserve"> </w:t>
            </w:r>
            <w:proofErr w:type="spellStart"/>
            <w:r>
              <w:t>підготовлену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студента. 2)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(</w:t>
            </w:r>
            <w:proofErr w:type="spellStart"/>
            <w:r>
              <w:t>контрольних</w:t>
            </w:r>
            <w:proofErr w:type="spellEnd"/>
            <w:r>
              <w:t xml:space="preserve">)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семестру.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якісну</w:t>
            </w:r>
            <w:proofErr w:type="spellEnd"/>
            <w:r>
              <w:t xml:space="preserve">, </w:t>
            </w:r>
            <w:proofErr w:type="spellStart"/>
            <w:r>
              <w:t>системну</w:t>
            </w:r>
            <w:proofErr w:type="spellEnd"/>
            <w:r>
              <w:t xml:space="preserve">, </w:t>
            </w:r>
            <w:proofErr w:type="spellStart"/>
            <w:r>
              <w:t>цілеспрямовану</w:t>
            </w:r>
            <w:proofErr w:type="spellEnd"/>
            <w:r>
              <w:t xml:space="preserve">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студента у </w:t>
            </w:r>
            <w:proofErr w:type="spellStart"/>
            <w:r>
              <w:t>підготовці</w:t>
            </w:r>
            <w:proofErr w:type="spellEnd"/>
            <w:r>
              <w:t xml:space="preserve"> до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r>
              <w:t>підсумкового</w:t>
            </w:r>
            <w:proofErr w:type="spellEnd"/>
            <w:r>
              <w:t xml:space="preserve"> контролю (</w:t>
            </w:r>
            <w:proofErr w:type="spellStart"/>
            <w:r>
              <w:t>екзамен</w:t>
            </w:r>
            <w:proofErr w:type="spellEnd"/>
            <w:r>
              <w:t xml:space="preserve">)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«</w:t>
            </w:r>
            <w:proofErr w:type="spellStart"/>
            <w:r>
              <w:t>заборгованостей</w:t>
            </w:r>
            <w:proofErr w:type="spellEnd"/>
            <w:r>
              <w:t xml:space="preserve">» та набору 26 і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(максимально – 50).</w:t>
            </w:r>
          </w:p>
        </w:tc>
      </w:tr>
      <w:tr w:rsidR="00DD3701" w:rsidRPr="00C67355" w:rsidTr="006E109E">
        <w:tc>
          <w:tcPr>
            <w:tcW w:w="9571" w:type="dxa"/>
            <w:gridSpan w:val="9"/>
          </w:tcPr>
          <w:p w:rsidR="00DD3701" w:rsidRPr="00483A45" w:rsidRDefault="00DD3701" w:rsidP="00DD370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DD3701" w:rsidRPr="00C67355" w:rsidTr="007205A6">
        <w:tc>
          <w:tcPr>
            <w:tcW w:w="9571" w:type="dxa"/>
            <w:gridSpan w:val="9"/>
          </w:tcPr>
          <w:p w:rsidR="00DD3701" w:rsidRDefault="0054576A" w:rsidP="0051237C">
            <w:pPr>
              <w:jc w:val="both"/>
              <w:rPr>
                <w:lang w:eastAsia="en-US"/>
              </w:rPr>
            </w:pPr>
            <w:r>
              <w:t xml:space="preserve">При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викладачі</w:t>
            </w:r>
            <w:proofErr w:type="spellEnd"/>
            <w:r>
              <w:t xml:space="preserve">, </w:t>
            </w:r>
            <w:proofErr w:type="spellStart"/>
            <w:r>
              <w:t>методисти</w:t>
            </w:r>
            <w:proofErr w:type="spellEnd"/>
            <w:r>
              <w:t xml:space="preserve"> та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до: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переведення</w:t>
            </w:r>
            <w:proofErr w:type="spellEnd"/>
            <w:r>
              <w:t xml:space="preserve">, </w:t>
            </w:r>
            <w:proofErr w:type="spellStart"/>
            <w:r>
              <w:t>відрахування</w:t>
            </w:r>
            <w:proofErr w:type="spellEnd"/>
            <w:r>
              <w:t xml:space="preserve"> та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академічні</w:t>
            </w:r>
            <w:proofErr w:type="spellEnd"/>
            <w:r>
              <w:t xml:space="preserve"> </w:t>
            </w:r>
            <w:proofErr w:type="spellStart"/>
            <w:r>
              <w:t>відпустки</w:t>
            </w:r>
            <w:proofErr w:type="spellEnd"/>
            <w:r>
              <w:t xml:space="preserve"> та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в </w:t>
            </w:r>
            <w:proofErr w:type="spellStart"/>
            <w:r>
              <w:t>вищих</w:t>
            </w:r>
            <w:proofErr w:type="spellEnd"/>
            <w:r>
              <w:t xml:space="preserve"> закладах </w:t>
            </w:r>
            <w:proofErr w:type="spellStart"/>
            <w:r>
              <w:t>освіти</w:t>
            </w:r>
            <w:bookmarkStart w:id="0" w:name="_GoBack"/>
            <w:bookmarkEnd w:id="0"/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(02.03.2016, №43-АГП);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повторного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(</w:t>
            </w:r>
            <w:proofErr w:type="spellStart"/>
            <w:r>
              <w:t>кредитів</w:t>
            </w:r>
            <w:proofErr w:type="spellEnd"/>
            <w:r>
              <w:t xml:space="preserve"> ECTS) в </w:t>
            </w:r>
            <w:proofErr w:type="spellStart"/>
            <w:r>
              <w:t>умовах</w:t>
            </w:r>
            <w:proofErr w:type="spellEnd"/>
            <w:r>
              <w:t xml:space="preserve"> ECTS (№18 </w:t>
            </w:r>
            <w:proofErr w:type="spellStart"/>
            <w:r>
              <w:t>від</w:t>
            </w:r>
            <w:proofErr w:type="spellEnd"/>
            <w:r>
              <w:t xml:space="preserve"> 2.02.2016р.);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курсу «</w:t>
            </w:r>
            <w:r>
              <w:rPr>
                <w:lang w:val="uk-UA"/>
              </w:rPr>
              <w:t>Еристика</w:t>
            </w:r>
            <w:r>
              <w:t xml:space="preserve">» </w:t>
            </w:r>
            <w:proofErr w:type="spellStart"/>
            <w:r>
              <w:t>грунтується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Студент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(</w:t>
            </w:r>
            <w:proofErr w:type="spellStart"/>
            <w:r>
              <w:t>силабусі</w:t>
            </w:r>
            <w:proofErr w:type="spellEnd"/>
            <w:r>
              <w:t xml:space="preserve">) </w:t>
            </w:r>
            <w:proofErr w:type="spellStart"/>
            <w:r>
              <w:t>вчасно</w:t>
            </w:r>
            <w:proofErr w:type="spellEnd"/>
            <w:r>
              <w:t xml:space="preserve">.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на </w:t>
            </w:r>
            <w:proofErr w:type="spellStart"/>
            <w:r>
              <w:t>лекції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незадовільної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ж </w:t>
            </w:r>
            <w:proofErr w:type="spellStart"/>
            <w:r>
              <w:t>неякісного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визначений</w:t>
            </w:r>
            <w:proofErr w:type="spellEnd"/>
            <w:r>
              <w:t xml:space="preserve"> день для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занять, </w:t>
            </w:r>
            <w:proofErr w:type="spellStart"/>
            <w:r>
              <w:t>незадовільних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для </w:t>
            </w:r>
            <w:proofErr w:type="spellStart"/>
            <w:r>
              <w:t>попереднього</w:t>
            </w:r>
            <w:proofErr w:type="spellEnd"/>
            <w:r>
              <w:t xml:space="preserve"> перегляду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. У </w:t>
            </w:r>
            <w:proofErr w:type="spellStart"/>
            <w:r>
              <w:t>випадку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), </w:t>
            </w:r>
            <w:proofErr w:type="spellStart"/>
            <w:r>
              <w:t>виявів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недоброчесності</w:t>
            </w:r>
            <w:proofErr w:type="spellEnd"/>
            <w:r>
              <w:t xml:space="preserve"> (</w:t>
            </w:r>
            <w:proofErr w:type="spellStart"/>
            <w:r>
              <w:t>списування</w:t>
            </w:r>
            <w:proofErr w:type="spellEnd"/>
            <w:r>
              <w:t xml:space="preserve">), </w:t>
            </w:r>
            <w:proofErr w:type="spellStart"/>
            <w:r>
              <w:t>викладач</w:t>
            </w:r>
            <w:proofErr w:type="spellEnd"/>
            <w:r>
              <w:t xml:space="preserve"> </w:t>
            </w:r>
            <w:proofErr w:type="spellStart"/>
            <w:r>
              <w:t>пропонує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 повторно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необхідний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бажанні</w:t>
            </w:r>
            <w:proofErr w:type="spellEnd"/>
            <w:r>
              <w:t xml:space="preserve"> студента </w:t>
            </w:r>
            <w:proofErr w:type="spellStart"/>
            <w:r>
              <w:t>підвищити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пропонується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– </w:t>
            </w: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узгоджених</w:t>
            </w:r>
            <w:proofErr w:type="spellEnd"/>
            <w:r>
              <w:t xml:space="preserve"> тем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r>
              <w:t>ліквідував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талоном №3 (при </w:t>
            </w:r>
            <w:proofErr w:type="spellStart"/>
            <w:r>
              <w:t>комісії</w:t>
            </w:r>
            <w:proofErr w:type="spellEnd"/>
            <w:r>
              <w:t xml:space="preserve">) </w:t>
            </w:r>
            <w:proofErr w:type="gramStart"/>
            <w:r>
              <w:t>і</w:t>
            </w:r>
            <w:proofErr w:type="gramEnd"/>
            <w:r>
              <w:t xml:space="preserve"> не набрав </w:t>
            </w:r>
            <w:proofErr w:type="spellStart"/>
            <w:r>
              <w:t>мінімум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r>
              <w:t xml:space="preserve"> буде </w:t>
            </w:r>
            <w:proofErr w:type="spellStart"/>
            <w:r>
              <w:t>запропоновано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DD3701" w:rsidRPr="00C67355" w:rsidTr="005C7D7E">
        <w:tc>
          <w:tcPr>
            <w:tcW w:w="9571" w:type="dxa"/>
            <w:gridSpan w:val="9"/>
          </w:tcPr>
          <w:p w:rsidR="00DD3701" w:rsidRPr="00151BC4" w:rsidRDefault="00DD3701" w:rsidP="00DD37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D3701" w:rsidRPr="00C67355" w:rsidTr="006B6FC5">
        <w:tc>
          <w:tcPr>
            <w:tcW w:w="9571" w:type="dxa"/>
            <w:gridSpan w:val="9"/>
          </w:tcPr>
          <w:p w:rsidR="008550D2" w:rsidRDefault="008550D2" w:rsidP="008550D2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4E4051">
              <w:rPr>
                <w:b/>
                <w:bCs/>
                <w:spacing w:val="-6"/>
                <w:lang w:val="uk-UA"/>
              </w:rPr>
              <w:t>Базова</w:t>
            </w:r>
          </w:p>
          <w:p w:rsidR="008550D2" w:rsidRPr="007E1277" w:rsidRDefault="008550D2" w:rsidP="008550D2">
            <w:pPr>
              <w:spacing w:line="276" w:lineRule="auto"/>
              <w:jc w:val="both"/>
              <w:rPr>
                <w:szCs w:val="28"/>
              </w:rPr>
            </w:pPr>
            <w:r w:rsidRPr="007E1277">
              <w:rPr>
                <w:szCs w:val="28"/>
              </w:rPr>
              <w:t xml:space="preserve">Хоменко І. В. </w:t>
            </w:r>
            <w:proofErr w:type="spellStart"/>
            <w:r w:rsidRPr="007E1277">
              <w:rPr>
                <w:szCs w:val="28"/>
              </w:rPr>
              <w:t>Еристика</w:t>
            </w:r>
            <w:proofErr w:type="spellEnd"/>
            <w:r w:rsidRPr="007E1277">
              <w:rPr>
                <w:szCs w:val="28"/>
              </w:rPr>
              <w:t xml:space="preserve">: </w:t>
            </w:r>
            <w:proofErr w:type="spellStart"/>
            <w:r w:rsidRPr="007E1277">
              <w:rPr>
                <w:szCs w:val="28"/>
              </w:rPr>
              <w:t>мистецтво</w:t>
            </w:r>
            <w:proofErr w:type="spellEnd"/>
            <w:r w:rsidRPr="007E1277">
              <w:rPr>
                <w:szCs w:val="28"/>
              </w:rPr>
              <w:t xml:space="preserve"> </w:t>
            </w:r>
            <w:proofErr w:type="spellStart"/>
            <w:r w:rsidRPr="007E1277">
              <w:rPr>
                <w:szCs w:val="28"/>
              </w:rPr>
              <w:t>полеміки</w:t>
            </w:r>
            <w:proofErr w:type="spellEnd"/>
            <w:r w:rsidRPr="007E1277">
              <w:rPr>
                <w:szCs w:val="28"/>
              </w:rPr>
              <w:t xml:space="preserve"> / І. В. Хоменко. – К.: </w:t>
            </w:r>
            <w:proofErr w:type="spellStart"/>
            <w:r w:rsidRPr="007E1277">
              <w:rPr>
                <w:szCs w:val="28"/>
              </w:rPr>
              <w:t>Юрінком</w:t>
            </w:r>
            <w:proofErr w:type="spellEnd"/>
            <w:r w:rsidRPr="007E1277">
              <w:rPr>
                <w:szCs w:val="28"/>
              </w:rPr>
              <w:t xml:space="preserve"> </w:t>
            </w:r>
            <w:proofErr w:type="spellStart"/>
            <w:r w:rsidRPr="007E1277">
              <w:rPr>
                <w:szCs w:val="28"/>
              </w:rPr>
              <w:t>Інтер</w:t>
            </w:r>
            <w:proofErr w:type="spellEnd"/>
            <w:r w:rsidRPr="007E1277">
              <w:rPr>
                <w:szCs w:val="28"/>
              </w:rPr>
              <w:t>,</w:t>
            </w:r>
            <w:r w:rsidRPr="007E1277">
              <w:rPr>
                <w:szCs w:val="28"/>
              </w:rPr>
              <w:tab/>
              <w:t xml:space="preserve"> 2001. </w:t>
            </w:r>
            <w:r w:rsidRPr="007E1277">
              <w:rPr>
                <w:szCs w:val="28"/>
              </w:rPr>
              <w:br/>
              <w:t xml:space="preserve">Хоменко І. В. </w:t>
            </w:r>
            <w:proofErr w:type="spellStart"/>
            <w:r w:rsidRPr="007E1277">
              <w:rPr>
                <w:szCs w:val="28"/>
              </w:rPr>
              <w:t>Еристика</w:t>
            </w:r>
            <w:proofErr w:type="spellEnd"/>
            <w:r w:rsidRPr="007E1277">
              <w:rPr>
                <w:szCs w:val="28"/>
              </w:rPr>
              <w:t xml:space="preserve"> / І. В. Хоменко. – К.: ЦУЛ, 2008. </w:t>
            </w:r>
          </w:p>
          <w:p w:rsidR="00DD3701" w:rsidRPr="008550D2" w:rsidRDefault="008550D2" w:rsidP="008550D2">
            <w:pPr>
              <w:shd w:val="clear" w:color="auto" w:fill="FFFFFF"/>
              <w:spacing w:line="276" w:lineRule="auto"/>
              <w:jc w:val="center"/>
              <w:rPr>
                <w:b/>
                <w:bCs/>
                <w:spacing w:val="-6"/>
                <w:lang w:val="uk-UA"/>
              </w:rPr>
            </w:pPr>
            <w:r w:rsidRPr="004E4051">
              <w:rPr>
                <w:b/>
                <w:bCs/>
                <w:spacing w:val="-6"/>
                <w:lang w:val="uk-UA"/>
              </w:rPr>
              <w:t>Допоміжна</w:t>
            </w:r>
            <w:r>
              <w:rPr>
                <w:b/>
                <w:bCs/>
                <w:spacing w:val="-6"/>
                <w:lang w:val="uk-UA"/>
              </w:rPr>
              <w:br/>
            </w:r>
            <w:r w:rsidRPr="007E1277">
              <w:rPr>
                <w:szCs w:val="28"/>
              </w:rPr>
              <w:t>Берков В. Ф. Культура диалога / В. Ф. Берков, Я. С, Яскевич. – Мн.: Новое знание,</w:t>
            </w:r>
            <w:r>
              <w:rPr>
                <w:szCs w:val="28"/>
              </w:rPr>
              <w:t xml:space="preserve"> </w:t>
            </w:r>
            <w:r w:rsidRPr="007E1277">
              <w:rPr>
                <w:szCs w:val="28"/>
              </w:rPr>
              <w:t xml:space="preserve">2002. </w:t>
            </w:r>
            <w:r w:rsidRPr="007E1277">
              <w:rPr>
                <w:szCs w:val="28"/>
              </w:rPr>
              <w:br/>
            </w: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D3701" w:rsidP="00E7380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</w:t>
      </w:r>
      <w:r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7B9689B8" wp14:editId="592E4790">
            <wp:extent cx="1076325" cy="50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07" cy="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доц. </w:t>
      </w:r>
      <w:r>
        <w:rPr>
          <w:szCs w:val="28"/>
        </w:rPr>
        <w:t>Гнатюк Я. С.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93CEB"/>
    <w:rsid w:val="00254871"/>
    <w:rsid w:val="002C2330"/>
    <w:rsid w:val="002E0844"/>
    <w:rsid w:val="00335A19"/>
    <w:rsid w:val="00373614"/>
    <w:rsid w:val="00395013"/>
    <w:rsid w:val="00471D4D"/>
    <w:rsid w:val="00483A45"/>
    <w:rsid w:val="004F7AFF"/>
    <w:rsid w:val="0051237C"/>
    <w:rsid w:val="0054576A"/>
    <w:rsid w:val="00654CF9"/>
    <w:rsid w:val="006A14B2"/>
    <w:rsid w:val="00730D2A"/>
    <w:rsid w:val="00752284"/>
    <w:rsid w:val="00784AB3"/>
    <w:rsid w:val="0084333C"/>
    <w:rsid w:val="008550D2"/>
    <w:rsid w:val="008841AE"/>
    <w:rsid w:val="008A1B87"/>
    <w:rsid w:val="009506C9"/>
    <w:rsid w:val="0095499A"/>
    <w:rsid w:val="009A2779"/>
    <w:rsid w:val="00A402FD"/>
    <w:rsid w:val="00AB324B"/>
    <w:rsid w:val="00AC76DC"/>
    <w:rsid w:val="00B10A22"/>
    <w:rsid w:val="00B93336"/>
    <w:rsid w:val="00BC32A7"/>
    <w:rsid w:val="00BE6E01"/>
    <w:rsid w:val="00C67355"/>
    <w:rsid w:val="00C81B4F"/>
    <w:rsid w:val="00CA1BE2"/>
    <w:rsid w:val="00D13E6D"/>
    <w:rsid w:val="00D62146"/>
    <w:rsid w:val="00D74B80"/>
    <w:rsid w:val="00D959FE"/>
    <w:rsid w:val="00DD3701"/>
    <w:rsid w:val="00E73804"/>
    <w:rsid w:val="00E77794"/>
    <w:rsid w:val="00EE1819"/>
    <w:rsid w:val="00EE4289"/>
    <w:rsid w:val="00F71319"/>
    <w:rsid w:val="00F9137E"/>
    <w:rsid w:val="00FD3100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83C3"/>
  <w15:docId w15:val="{59233D6B-F892-4F47-8AB4-CB93101A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s.hnatiu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E9E93-1485-4E1D-8B10-4891188E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6174</Words>
  <Characters>3520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Robert</cp:lastModifiedBy>
  <cp:revision>13</cp:revision>
  <cp:lastPrinted>2020-10-13T06:35:00Z</cp:lastPrinted>
  <dcterms:created xsi:type="dcterms:W3CDTF">2020-10-21T14:15:00Z</dcterms:created>
  <dcterms:modified xsi:type="dcterms:W3CDTF">2020-10-22T12:15:00Z</dcterms:modified>
</cp:coreProperties>
</file>