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right="3771.7547607421875"/>
        <w:rPr>
          <w:rFonts w:ascii="Times" w:cs="Times" w:eastAsia="Times" w:hAnsi="Times"/>
          <w:b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right="3771.7547607421875"/>
        <w:rPr>
          <w:rFonts w:ascii="Times" w:cs="Times" w:eastAsia="Times" w:hAnsi="Times"/>
          <w:b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right="3771.7547607421875"/>
        <w:rPr>
          <w:rFonts w:ascii="Times" w:cs="Times" w:eastAsia="Times" w:hAnsi="Times"/>
          <w:b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right="3771.7547607421875"/>
        <w:rPr>
          <w:rFonts w:ascii="Times" w:cs="Times" w:eastAsia="Times" w:hAnsi="Times"/>
          <w:b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right="3771.7547607421875"/>
        <w:rPr>
          <w:rFonts w:ascii="Times" w:cs="Times" w:eastAsia="Times" w:hAnsi="Times"/>
          <w:b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right="3771.7547607421875"/>
        <w:rPr>
          <w:rFonts w:ascii="Times" w:cs="Times" w:eastAsia="Times" w:hAnsi="Times"/>
          <w:b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right="3771.7547607421875"/>
        <w:rPr>
          <w:rFonts w:ascii="Times" w:cs="Times" w:eastAsia="Times" w:hAnsi="Times"/>
          <w:b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right="3771.7547607421875"/>
        <w:rPr>
          <w:rFonts w:ascii="Times" w:cs="Times" w:eastAsia="Times" w:hAnsi="Times"/>
          <w:b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right="3771.7547607421875"/>
        <w:rPr>
          <w:rFonts w:ascii="Times" w:cs="Times" w:eastAsia="Times" w:hAnsi="Times"/>
          <w:b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0" w:right="-16.06299212598401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ПОРЯДОК</w:t>
      </w:r>
    </w:p>
    <w:p w:rsidR="00000000" w:rsidDel="00000000" w:rsidP="00000000" w:rsidRDefault="00000000" w:rsidRPr="00000000" w14:paraId="0000000D">
      <w:pPr>
        <w:widowControl w:val="0"/>
        <w:ind w:left="0" w:right="-16.06299212598401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формування та розподілу накладних витрат </w:t>
        <w:br w:type="textWrapping"/>
        <w:t xml:space="preserve">за КПКВК 2201040 «Наукова і науково-технічна діяльність закладів вищої освіти та наукових установ» </w:t>
        <w:br w:type="textWrapping"/>
        <w:t xml:space="preserve">Прикарпатського національного університету </w:t>
        <w:br w:type="textWrapping"/>
        <w:t xml:space="preserve">імені Василя Стефаника</w:t>
      </w:r>
    </w:p>
    <w:p w:rsidR="00000000" w:rsidDel="00000000" w:rsidP="00000000" w:rsidRDefault="00000000" w:rsidRPr="00000000" w14:paraId="0000000E">
      <w:pPr>
        <w:widowControl w:val="0"/>
        <w:ind w:right="3616.6552734375"/>
        <w:rPr>
          <w:rFonts w:ascii="Times" w:cs="Times" w:eastAsia="Times" w:hAnsi="Times"/>
          <w:b w:val="1"/>
          <w:sz w:val="36.15999984741211"/>
          <w:szCs w:val="36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ind w:right="3616.6552734375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ind w:right="52.204724409448886"/>
        <w:jc w:val="center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Fonts w:ascii="Times" w:cs="Times" w:eastAsia="Times" w:hAnsi="Times"/>
          <w:sz w:val="27.84000015258789"/>
          <w:szCs w:val="27.84000015258789"/>
          <w:rtl w:val="0"/>
        </w:rPr>
        <w:t xml:space="preserve">м. Івано-Франківськ</w:t>
      </w:r>
    </w:p>
    <w:p w:rsidR="00000000" w:rsidDel="00000000" w:rsidP="00000000" w:rsidRDefault="00000000" w:rsidRPr="00000000" w14:paraId="00000020">
      <w:pPr>
        <w:widowControl w:val="0"/>
        <w:ind w:right="52.204724409448886"/>
        <w:jc w:val="center"/>
        <w:rPr>
          <w:sz w:val="28"/>
          <w:szCs w:val="28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 w:orient="portrait"/>
          <w:pgMar w:bottom="1133.8582677165355" w:top="850.3937007874016" w:left="1700.7874015748032" w:right="737.0078740157481" w:header="709" w:footer="709"/>
          <w:pgNumType w:start="1"/>
          <w:titlePg w:val="1"/>
        </w:sectPr>
      </w:pPr>
      <w:r w:rsidDel="00000000" w:rsidR="00000000" w:rsidRPr="00000000">
        <w:rPr>
          <w:rFonts w:ascii="Times" w:cs="Times" w:eastAsia="Times" w:hAnsi="Times"/>
          <w:sz w:val="27.84000015258789"/>
          <w:szCs w:val="27.84000015258789"/>
          <w:rtl w:val="0"/>
        </w:rPr>
        <w:t xml:space="preserve">2022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ПЕРЕДМОВА</w:t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-4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6585"/>
        <w:tblGridChange w:id="0">
          <w:tblGrid>
            <w:gridCol w:w="2925"/>
            <w:gridCol w:w="65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425.19685039370086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РОЗРОБЛЕНО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Прикарпатським національним університетом </w:t>
              <w:br w:type="textWrapping"/>
              <w:t xml:space="preserve">імені Василя Стефаника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ind w:left="425.19685039370086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ВНЕСЕНО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Науково-дослідною частиною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ind w:left="425.19685039370086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РОЗГЛЯНУТО ТА СХВАЛЕНО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Вченою радою Прикарпатського національного університету імені Василя Стефаника</w:t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Протокол від 27 червня 2022 р. № 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ind w:left="425.19685039370086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ВВЕДЕНО В ДІЮ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наказом ректора Прикарпатського національного університету імені Василя Стефаника </w:t>
              <w:br w:type="textWrapping"/>
              <w:t xml:space="preserve">від 21 липня 2022 р. № 352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425.19685039370086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УПРОВАДЖЕНО НА ЗАМІНУ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Порядку до формування та розподілу накладних витрат за КПКВК 2201040 «Наукова і науково-технічна діяльність закладів вищої освіти та наукових установ» ДВНЗ «Прикарпатський національний університет імені Василя Стефаника», 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схваленого Вченою радою ДВНЗ «Прикарпатський національний університет імені Василя Стефаника» від 03 листопада 2020 р., протокол № 9 та введеного в дію наказом ректора від 09 листопада 2020 р. № 657 (редакція 1)</w:t>
            </w:r>
          </w:p>
        </w:tc>
      </w:tr>
    </w:tbl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sz w:val="28"/>
          <w:szCs w:val="28"/>
          <w:highlight w:val="white"/>
        </w:rPr>
        <w:sectPr>
          <w:type w:val="nextPage"/>
          <w:pgSz w:h="16838" w:w="11906" w:orient="portrait"/>
          <w:pgMar w:bottom="115.98425196850485" w:top="851" w:left="1700.7874015748032" w:right="718.937007874016" w:header="709" w:footer="709"/>
          <w:cols w:equalWidth="0" w:num="1">
            <w:col w:space="0" w:w="9485.77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ind w:left="0" w:firstLine="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 Положення регламентує порядок формування накладних витрат за КПКВК 2201040 «Наукова і науково-технічна діяльність закладів вищої освіти та наукових установ» Науково-дослідною частиною (далі ‒ НДЧ) Прикарпатського національного університету імені Василя Стефаника та їх розподіл.</w:t>
      </w:r>
    </w:p>
    <w:p w:rsidR="00000000" w:rsidDel="00000000" w:rsidP="00000000" w:rsidRDefault="00000000" w:rsidRPr="00000000" w14:paraId="00000032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 Планові кошториси (річні, квартальні) накладних витрат щорічно розподіляються фахівцем з реалізації проєктів НДЧ, погоджуються з начальником НДЧ, планово-фінансовим відділом, головним бухгалтером, проректором з наукової роботи та затверджуються ректором. Для розрахунку накладних витрат проводяться відрахування від обсягу наукових проєктів, науково-дослідних робіт (НДР) та наукових послуг, які формують загальний та спеціальний фонд Державного бюджету за КПКВК 2201040 «Наукова і науково-технічна діяльність закладів вищої освіти та наукових установ».</w:t>
      </w:r>
    </w:p>
    <w:p w:rsidR="00000000" w:rsidDel="00000000" w:rsidP="00000000" w:rsidRDefault="00000000" w:rsidRPr="00000000" w14:paraId="00000033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 Накладні витрати призначаються для організації з проведення планового, бухгалтерського, інформаційного, кадрового, метрологічного, режимного та іншого супроводження виконання і впровадження наукових проєктів та робіт.</w:t>
      </w:r>
    </w:p>
    <w:p w:rsidR="00000000" w:rsidDel="00000000" w:rsidP="00000000" w:rsidRDefault="00000000" w:rsidRPr="00000000" w14:paraId="00000034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Основними статтями накладних витрат є:</w:t>
      </w:r>
    </w:p>
    <w:p w:rsidR="00000000" w:rsidDel="00000000" w:rsidP="00000000" w:rsidRDefault="00000000" w:rsidRPr="00000000" w14:paraId="00000035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витрати, пов’язані з управлінням (витрати на виплату основної та додаткової заробітної плати працівників апарату управління, які забезпечують роботу наукових підрозділів, а також інших адміністративних працівників, які залучаються для виконання адміністративної роботи за науковими темами, включаючи будь-які види грошових і матеріальних доплат, зокрема премії;</w:t>
      </w:r>
    </w:p>
    <w:p w:rsidR="00000000" w:rsidDel="00000000" w:rsidP="00000000" w:rsidRDefault="00000000" w:rsidRPr="00000000" w14:paraId="00000036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витрати для утримання будинків, споруд загального призначення; </w:t>
      </w:r>
    </w:p>
    <w:p w:rsidR="00000000" w:rsidDel="00000000" w:rsidP="00000000" w:rsidRDefault="00000000" w:rsidRPr="00000000" w14:paraId="00000037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витрати на проведення поточного ремонту і технічного обслуговування основних фондів загального призначення; комунальні витрати; </w:t>
      </w:r>
    </w:p>
    <w:p w:rsidR="00000000" w:rsidDel="00000000" w:rsidP="00000000" w:rsidRDefault="00000000" w:rsidRPr="00000000" w14:paraId="00000038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оплата зв’язку, засобів сигналізації, обчислювальної техніки; оплата робіт і послуг консультативного та інформаційного характеру, пов’язаних із забезпеченням діяльності організації; оплата вартості ліцензій та інших державних дозволів для ведення господарської діяльності;</w:t>
      </w:r>
    </w:p>
    <w:p w:rsidR="00000000" w:rsidDel="00000000" w:rsidP="00000000" w:rsidRDefault="00000000" w:rsidRPr="00000000" w14:paraId="00000039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виплати громадянам за виконання робіт (надання послуг) згідно з договорами цивільно-правового характеру;</w:t>
      </w:r>
    </w:p>
    <w:p w:rsidR="00000000" w:rsidDel="00000000" w:rsidP="00000000" w:rsidRDefault="00000000" w:rsidRPr="00000000" w14:paraId="0000003A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виплати на проведення ініціативних науково-дослідних робіт, зокрема з актуальних проблем розвитку науки і техніки;</w:t>
      </w:r>
    </w:p>
    <w:p w:rsidR="00000000" w:rsidDel="00000000" w:rsidP="00000000" w:rsidRDefault="00000000" w:rsidRPr="00000000" w14:paraId="0000003B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виплати на винахідництво та раціоналізацію, включно з витратами на проведення дослідно-експериментальних робіт, виготовлення та випробування моделей і зразків, витрати на патентування і сертифікацію продукції;</w:t>
      </w:r>
    </w:p>
    <w:p w:rsidR="00000000" w:rsidDel="00000000" w:rsidP="00000000" w:rsidRDefault="00000000" w:rsidRPr="00000000" w14:paraId="0000003C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витрати на підготовку (навчання), перепідготовку та підвищення кваліфікації кадрів;</w:t>
      </w:r>
    </w:p>
    <w:p w:rsidR="00000000" w:rsidDel="00000000" w:rsidP="00000000" w:rsidRDefault="00000000" w:rsidRPr="00000000" w14:paraId="0000003D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витрати на науково-технічну інформацію, зокрема: придбання науково-технічної літератури для бібліотеки університету; </w:t>
      </w:r>
    </w:p>
    <w:p w:rsidR="00000000" w:rsidDel="00000000" w:rsidP="00000000" w:rsidRDefault="00000000" w:rsidRPr="00000000" w14:paraId="0000003E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придбання і підтримка електронних баз даних; друкарські витрати на видання збірників наукових праць, наукових журналів і монографій;</w:t>
      </w:r>
    </w:p>
    <w:p w:rsidR="00000000" w:rsidDel="00000000" w:rsidP="00000000" w:rsidRDefault="00000000" w:rsidRPr="00000000" w14:paraId="0000003F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витрати на організацію наукових конференцій та інших офіційних заходів;</w:t>
      </w:r>
    </w:p>
    <w:p w:rsidR="00000000" w:rsidDel="00000000" w:rsidP="00000000" w:rsidRDefault="00000000" w:rsidRPr="00000000" w14:paraId="00000040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витрати на участь університету у виставках, ярмарках; </w:t>
      </w:r>
    </w:p>
    <w:p w:rsidR="00000000" w:rsidDel="00000000" w:rsidP="00000000" w:rsidRDefault="00000000" w:rsidRPr="00000000" w14:paraId="00000041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витрати на рекламу;</w:t>
      </w:r>
    </w:p>
    <w:p w:rsidR="00000000" w:rsidDel="00000000" w:rsidP="00000000" w:rsidRDefault="00000000" w:rsidRPr="00000000" w14:paraId="00000042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витрати на забезпечення умов праці і техніки безпеки;</w:t>
      </w:r>
    </w:p>
    <w:p w:rsidR="00000000" w:rsidDel="00000000" w:rsidP="00000000" w:rsidRDefault="00000000" w:rsidRPr="00000000" w14:paraId="00000043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видатки на оплату службових відряджень у межах норм, передбачених законодавством;</w:t>
      </w:r>
    </w:p>
    <w:p w:rsidR="00000000" w:rsidDel="00000000" w:rsidP="00000000" w:rsidRDefault="00000000" w:rsidRPr="00000000" w14:paraId="00000044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придбання матеріалів та обладнання для забезпечення супроводження виконання наукових робіт.</w:t>
      </w:r>
    </w:p>
    <w:p w:rsidR="00000000" w:rsidDel="00000000" w:rsidP="00000000" w:rsidRDefault="00000000" w:rsidRPr="00000000" w14:paraId="00000045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 Фахівець, відповідальний за реалізацію проєктів від НДЧ університету, щоквартально надає начальнику НДЧ фактичний звіт про використання накладних витрат за минулий квартал. У кінці року складається звіт про використання накладних витрат за рік.</w:t>
      </w:r>
    </w:p>
    <w:p w:rsidR="00000000" w:rsidDel="00000000" w:rsidP="00000000" w:rsidRDefault="00000000" w:rsidRPr="00000000" w14:paraId="00000046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 Розмір відрахувань на накладні витрати становить: з проєктів із загального фонду в межах 20 %, з проєктів із спеціального фонду в межах 15 ‒ 25 % залежно від обсягу фінансування проєкту за погодженням із головним бухгалтером та проректором з наукової роботи.</w:t>
      </w:r>
    </w:p>
    <w:p w:rsidR="00000000" w:rsidDel="00000000" w:rsidP="00000000" w:rsidRDefault="00000000" w:rsidRPr="00000000" w14:paraId="00000047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 Для наукових проєктів, де розміри відрахувань на накладні витрати узгоджуються замовником та відрізняються від розміру відрахувань, які встановлені у п. 5, обсяги відрахувань на накладні витрати погоджуються з головним бухгалтером та проректором з наукової роботи.</w:t>
      </w:r>
    </w:p>
    <w:p w:rsidR="00000000" w:rsidDel="00000000" w:rsidP="00000000" w:rsidRDefault="00000000" w:rsidRPr="00000000" w14:paraId="00000048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 Розмір накладних відрахувань, які виконуються на замовлення державних наукових фондів і органів центральної влади та фінансуються за рахунок Державного бюджету України, встановлюються Замовником.</w:t>
      </w:r>
    </w:p>
    <w:p w:rsidR="00000000" w:rsidDel="00000000" w:rsidP="00000000" w:rsidRDefault="00000000" w:rsidRPr="00000000" w14:paraId="00000049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 Для господарських договорів, у яких не визначений обсяг загального фінансування та які виконуються за листами-замовленнями Замовника з фінансуванням по факту виконаних робіт, накладні витрати коригуються протягом дії договору відповідно п. 5 цього Положення.</w:t>
      </w:r>
    </w:p>
    <w:p w:rsidR="00000000" w:rsidDel="00000000" w:rsidP="00000000" w:rsidRDefault="00000000" w:rsidRPr="00000000" w14:paraId="0000004A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 Порядок врахувань обсягів надходжень, відрахувань та видатків за накладними витратами:</w:t>
      </w:r>
    </w:p>
    <w:p w:rsidR="00000000" w:rsidDel="00000000" w:rsidP="00000000" w:rsidRDefault="00000000" w:rsidRPr="00000000" w14:paraId="0000004B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1) на початку календарного року визначається обсяг коштів, який потрібний для покриття накладних видатків згідно з плановим кошторисом.</w:t>
      </w:r>
    </w:p>
    <w:p w:rsidR="00000000" w:rsidDel="00000000" w:rsidP="00000000" w:rsidRDefault="00000000" w:rsidRPr="00000000" w14:paraId="0000004C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оперативного контролю інформація про це надається проректору з наукової роботи та в бухгалтерію.</w:t>
      </w:r>
    </w:p>
    <w:p w:rsidR="00000000" w:rsidDel="00000000" w:rsidP="00000000" w:rsidRDefault="00000000" w:rsidRPr="00000000" w14:paraId="0000004D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2) при надходженні коштів на виконання НДР бухгалтерія університету надає інформацію НДЧ, відповідальним фахівцем НДЧ проводиться розрахунок відрахувань на накладні витрати відповідно до п. 5 та подається у планово-фінансовий відділ університету для внесення відповідних змін до кошторису за кодами економічної класифікації видатків.</w:t>
      </w:r>
    </w:p>
    <w:p w:rsidR="00000000" w:rsidDel="00000000" w:rsidP="00000000" w:rsidRDefault="00000000" w:rsidRPr="00000000" w14:paraId="0000004E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3) рішення про витрати коштів накладних витрат відповідно до п. 3 приймаються проректором з наукової роботи за поданням начальника НДЧ з відповідними візами.</w:t>
      </w:r>
    </w:p>
    <w:p w:rsidR="00000000" w:rsidDel="00000000" w:rsidP="00000000" w:rsidRDefault="00000000" w:rsidRPr="00000000" w14:paraId="0000004F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 Положення набирає чинності з моменту затвердження його наказом ректора і розповсюджується на договори, які укладені після затвердження Положення.</w:t>
      </w:r>
    </w:p>
    <w:p w:rsidR="00000000" w:rsidDel="00000000" w:rsidP="00000000" w:rsidRDefault="00000000" w:rsidRPr="00000000" w14:paraId="00000050">
      <w:pPr>
        <w:widowControl w:val="0"/>
        <w:spacing w:after="0" w:before="0" w:lineRule="auto"/>
        <w:ind w:right="-1.0629921259840103" w:firstLine="566.92913385826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11. Зміни та доповнення в разі потреби може вносити Вчена рада університету.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5.98425196850485" w:top="851" w:left="1700.7874015748032" w:right="718.937007874016" w:header="709" w:footer="709"/>
      <w:cols w:equalWidth="0" w:num="1">
        <w:col w:space="0" w:w="9485.77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widowControl w:val="0"/>
      <w:ind w:right="3771.7547607421875"/>
      <w:rPr>
        <w:rFonts w:ascii="Times" w:cs="Times" w:eastAsia="Times" w:hAnsi="Times"/>
        <w:b w:val="1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46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170"/>
      <w:gridCol w:w="6105"/>
      <w:gridCol w:w="2190"/>
      <w:tblGridChange w:id="0">
        <w:tblGrid>
          <w:gridCol w:w="1170"/>
          <w:gridCol w:w="6105"/>
          <w:gridCol w:w="2190"/>
        </w:tblGrid>
      </w:tblGridChange>
    </w:tblGrid>
    <w:tr>
      <w:trPr>
        <w:cantSplit w:val="0"/>
        <w:trHeight w:val="754.921875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2">
          <w:pPr>
            <w:widowControl w:val="0"/>
            <w:rPr>
              <w:rFonts w:ascii="Times" w:cs="Times" w:eastAsia="Times" w:hAnsi="Times"/>
              <w:b w:val="1"/>
              <w:sz w:val="32.15999984741211"/>
              <w:szCs w:val="32.15999984741211"/>
            </w:rPr>
          </w:pPr>
          <w:r w:rsidDel="00000000" w:rsidR="00000000" w:rsidRPr="00000000">
            <w:rPr>
              <w:sz w:val="24"/>
              <w:szCs w:val="24"/>
            </w:rPr>
            <w:drawing>
              <wp:inline distB="0" distT="0" distL="114300" distR="114300">
                <wp:extent cx="571500" cy="5715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3">
          <w:pPr>
            <w:widowControl w:val="0"/>
            <w:jc w:val="center"/>
            <w:rPr/>
          </w:pPr>
          <w:r w:rsidDel="00000000" w:rsidR="00000000" w:rsidRPr="00000000">
            <w:rPr>
              <w:rtl w:val="0"/>
            </w:rPr>
            <w:t xml:space="preserve">ЕЛЕКТРОННИЙ ФОНД ЛОКАЛЬНИХ НОРМАТИВНО-ПРАВОВИХ ДОКУМЕНТІВ</w:t>
          </w:r>
        </w:p>
        <w:p w:rsidR="00000000" w:rsidDel="00000000" w:rsidP="00000000" w:rsidRDefault="00000000" w:rsidRPr="00000000" w14:paraId="00000054">
          <w:pPr>
            <w:widowControl w:val="0"/>
            <w:jc w:val="center"/>
            <w:rPr>
              <w:rFonts w:ascii="Times" w:cs="Times" w:eastAsia="Times" w:hAnsi="Times"/>
              <w:b w:val="1"/>
              <w:sz w:val="32.15999984741211"/>
              <w:szCs w:val="32.15999984741211"/>
            </w:rPr>
          </w:pPr>
          <w:r w:rsidDel="00000000" w:rsidR="00000000" w:rsidRPr="00000000">
            <w:rPr>
              <w:rtl w:val="0"/>
            </w:rPr>
            <w:t xml:space="preserve">ПРИКАРПАТСЬКОГО НАЦІОНАЛЬНОГО УНІВЕРСИТЕТУ </w:t>
            <w:br w:type="textWrapping"/>
            <w:t xml:space="preserve">ІМЕНІ ВАСИЛЯ СТЕФАНИКА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5">
          <w:pPr>
            <w:widowControl w:val="0"/>
            <w:jc w:val="left"/>
            <w:rPr>
              <w:b w:val="1"/>
              <w:sz w:val="36.15999984741211"/>
              <w:szCs w:val="36.15999984741211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1.97265625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6">
          <w:pPr>
            <w:widowControl w:val="0"/>
            <w:rPr>
              <w:rFonts w:ascii="Times" w:cs="Times" w:eastAsia="Times" w:hAnsi="Times"/>
              <w:b w:val="1"/>
              <w:sz w:val="32.15999984741211"/>
              <w:szCs w:val="32.1599998474121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7">
          <w:pPr>
            <w:widowControl w:val="0"/>
            <w:spacing w:before="0" w:line="240" w:lineRule="auto"/>
            <w:ind w:left="1213" w:firstLine="0"/>
            <w:rPr>
              <w:rFonts w:ascii="Times" w:cs="Times" w:eastAsia="Times" w:hAnsi="Times"/>
              <w:b w:val="1"/>
              <w:sz w:val="32.15999984741211"/>
              <w:szCs w:val="32.15999984741211"/>
            </w:rPr>
          </w:pPr>
          <w:r w:rsidDel="00000000" w:rsidR="00000000" w:rsidRPr="00000000">
            <w:rPr>
              <w:b w:val="1"/>
              <w:rtl w:val="0"/>
            </w:rPr>
            <w:t xml:space="preserve">НАУКОВО-ДОСЛІДНА ЧАСТИНА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8">
          <w:pPr>
            <w:widowControl w:val="0"/>
            <w:spacing w:before="0" w:line="240" w:lineRule="auto"/>
            <w:jc w:val="center"/>
            <w:rPr>
              <w:sz w:val="28"/>
              <w:szCs w:val="28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Редакція 2</w:t>
          </w:r>
        </w:p>
      </w:tc>
    </w:tr>
  </w:tbl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widowControl w:val="0"/>
      <w:ind w:right="3771.7547607421875"/>
      <w:rPr>
        <w:rFonts w:ascii="Times" w:cs="Times" w:eastAsia="Times" w:hAnsi="Times"/>
        <w:b w:val="1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3"/>
      <w:tblW w:w="946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170"/>
      <w:gridCol w:w="6150"/>
      <w:gridCol w:w="2145"/>
      <w:tblGridChange w:id="0">
        <w:tblGrid>
          <w:gridCol w:w="1170"/>
          <w:gridCol w:w="6150"/>
          <w:gridCol w:w="2145"/>
        </w:tblGrid>
      </w:tblGridChange>
    </w:tblGrid>
    <w:tr>
      <w:trPr>
        <w:cantSplit w:val="0"/>
        <w:trHeight w:val="904.921875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C">
          <w:pPr>
            <w:widowControl w:val="0"/>
            <w:rPr>
              <w:rFonts w:ascii="Times" w:cs="Times" w:eastAsia="Times" w:hAnsi="Times"/>
              <w:b w:val="1"/>
              <w:sz w:val="32.15999984741211"/>
              <w:szCs w:val="32.15999984741211"/>
            </w:rPr>
          </w:pPr>
          <w:r w:rsidDel="00000000" w:rsidR="00000000" w:rsidRPr="00000000">
            <w:rPr>
              <w:sz w:val="24"/>
              <w:szCs w:val="24"/>
            </w:rPr>
            <w:drawing>
              <wp:inline distB="0" distT="0" distL="114300" distR="114300">
                <wp:extent cx="571500" cy="571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D">
          <w:pPr>
            <w:widowControl w:val="0"/>
            <w:jc w:val="center"/>
            <w:rPr/>
          </w:pPr>
          <w:r w:rsidDel="00000000" w:rsidR="00000000" w:rsidRPr="00000000">
            <w:rPr>
              <w:rtl w:val="0"/>
            </w:rPr>
            <w:t xml:space="preserve">ЕЛЕКТРОННИЙ ФОНД ЛОКАЛЬНИХ НОРМАТИВНО-ПРАВОВИХ ДОКУМЕНТІВ</w:t>
          </w:r>
        </w:p>
        <w:p w:rsidR="00000000" w:rsidDel="00000000" w:rsidP="00000000" w:rsidRDefault="00000000" w:rsidRPr="00000000" w14:paraId="0000005E">
          <w:pPr>
            <w:widowControl w:val="0"/>
            <w:jc w:val="center"/>
            <w:rPr>
              <w:rFonts w:ascii="Times" w:cs="Times" w:eastAsia="Times" w:hAnsi="Times"/>
              <w:b w:val="1"/>
              <w:sz w:val="32.15999984741211"/>
              <w:szCs w:val="32.15999984741211"/>
            </w:rPr>
          </w:pPr>
          <w:r w:rsidDel="00000000" w:rsidR="00000000" w:rsidRPr="00000000">
            <w:rPr>
              <w:rtl w:val="0"/>
            </w:rPr>
            <w:t xml:space="preserve">ПРИКАРПАТСЬКОГО НАЦІОНАЛЬНОГО УНІВЕРСИТЕТУ </w:t>
            <w:br w:type="textWrapping"/>
            <w:t xml:space="preserve">ІМЕНІ ВАСИЛЯ СТЕФАНИКА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F">
          <w:pPr>
            <w:widowControl w:val="0"/>
            <w:jc w:val="center"/>
            <w:rPr>
              <w:b w:val="1"/>
              <w:sz w:val="36.15999984741211"/>
              <w:szCs w:val="36.15999984741211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Шифр документа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1.97265625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0">
          <w:pPr>
            <w:widowControl w:val="0"/>
            <w:rPr>
              <w:rFonts w:ascii="Times" w:cs="Times" w:eastAsia="Times" w:hAnsi="Times"/>
              <w:b w:val="1"/>
              <w:sz w:val="32.15999984741211"/>
              <w:szCs w:val="32.1599998474121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61">
          <w:pPr>
            <w:widowControl w:val="0"/>
            <w:ind w:left="1213" w:firstLine="0"/>
            <w:rPr>
              <w:rFonts w:ascii="Times" w:cs="Times" w:eastAsia="Times" w:hAnsi="Times"/>
              <w:b w:val="1"/>
              <w:sz w:val="32.15999984741211"/>
              <w:szCs w:val="32.15999984741211"/>
            </w:rPr>
          </w:pPr>
          <w:r w:rsidDel="00000000" w:rsidR="00000000" w:rsidRPr="00000000">
            <w:rPr>
              <w:b w:val="1"/>
              <w:rtl w:val="0"/>
            </w:rPr>
            <w:t xml:space="preserve">НАУКОВО-ДОСЛІДНА ЧАСТИНА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62">
          <w:pPr>
            <w:widowControl w:val="0"/>
            <w:jc w:val="center"/>
            <w:rPr>
              <w:sz w:val="28"/>
              <w:szCs w:val="28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Редакція 2</w:t>
          </w:r>
        </w:p>
      </w:tc>
    </w:tr>
  </w:tbl>
  <w:p w:rsidR="00000000" w:rsidDel="00000000" w:rsidP="00000000" w:rsidRDefault="00000000" w:rsidRPr="00000000" w14:paraId="00000063">
    <w:pPr>
      <w:tabs>
        <w:tab w:val="center" w:pos="4677"/>
        <w:tab w:val="right" w:pos="9355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