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ind w:left="7080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ЗАТВЕРДЖЕНО </w:t>
      </w:r>
    </w:p>
    <w:p>
      <w:pPr>
        <w:spacing w:lineRule="auto" w:line="240" w:before="0" w:after="0" w:beforeAutospacing="0" w:afterAutospacing="0"/>
        <w:ind w:left="7080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Наказ Міністерства </w:t>
      </w:r>
    </w:p>
    <w:p>
      <w:pPr>
        <w:spacing w:lineRule="auto" w:line="240" w:before="0" w:after="0" w:beforeAutospacing="0" w:afterAutospacing="0"/>
        <w:ind w:left="7080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освіти і науки України</w:t>
      </w:r>
    </w:p>
    <w:p>
      <w:pPr>
        <w:spacing w:lineRule="auto" w:line="240" w:before="0" w:after="0" w:beforeAutospacing="0" w:afterAutospacing="0"/>
        <w:ind w:left="7080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___. ___. 2022 №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НАУКОВО-ЕКСПЕРТНИЙ ВИСНОВОК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з оцінювання проєкту на проведення прикладного дослідження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темою:________________________________________________________________________ 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 w:val="1"/>
          <w:sz w:val="24"/>
          <w:szCs w:val="24"/>
        </w:rPr>
        <w:t xml:space="preserve">Секція </w:t>
      </w:r>
      <w:r>
        <w:rPr>
          <w:rFonts w:ascii="Times New Roman" w:hAnsi="Times New Roman"/>
          <w:i w:val="1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>
      <w:pPr>
        <w:pStyle w:val="P6"/>
        <w:rPr>
          <w:rFonts w:ascii="Times New Roman" w:hAnsi="Times New Roman"/>
          <w:sz w:val="24"/>
          <w:szCs w:val="24"/>
        </w:rPr>
      </w:pPr>
    </w:p>
    <w:p>
      <w:pPr>
        <w:pStyle w:val="P6"/>
        <w:rPr>
          <w:rFonts w:ascii="Times New Roman" w:hAnsi="Times New Roman"/>
          <w:sz w:val="24"/>
          <w:szCs w:val="24"/>
        </w:rPr>
      </w:pPr>
    </w:p>
    <w:p>
      <w:pPr>
        <w:pStyle w:val="P6"/>
        <w:rPr>
          <w:rFonts w:ascii="Times New Roman" w:hAnsi="Times New Roman"/>
          <w:sz w:val="24"/>
          <w:szCs w:val="24"/>
        </w:rPr>
      </w:pPr>
    </w:p>
    <w:p>
      <w:pPr>
        <w:pStyle w:val="P4"/>
        <w:shd w:val="clear" w:fill="auto"/>
        <w:spacing w:lineRule="exact" w:line="220" w:beforeAutospacing="0" w:afterAutospacing="0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ЗАГАЛЬНІ ВИМОГИ ДО ПРОЄКТУ ТА ЕКСПЕРТА</w:t>
      </w:r>
    </w:p>
    <w:p>
      <w:pPr>
        <w:pStyle w:val="P6"/>
        <w:widowControl w:val="0"/>
        <w:rPr>
          <w:rFonts w:ascii="Times New Roman" w:hAnsi="Times New Roman"/>
          <w:sz w:val="24"/>
          <w:szCs w:val="24"/>
        </w:rPr>
      </w:pPr>
    </w:p>
    <w:p>
      <w:pPr>
        <w:pStyle w:val="P6"/>
        <w:widowControl w:val="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представленого проєкту науковому напряму секції - </w:t>
        <w:tab/>
        <w:t xml:space="preserve">        ТАК      / НІ       </w:t>
      </w:r>
    </w:p>
    <w:p>
      <w:pPr>
        <w:pStyle w:val="P6"/>
        <w:widowControl w:val="0"/>
        <w:rPr>
          <w:rFonts w:ascii="Times New Roman" w:hAnsi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t>У випадку відповіді «НІ» всіма експертами, проєкт має бути переданий Підрозділом на іншу секцію. У випадку різних відповідей експертами рішення щодо відповідності напряму приймається на засіданні Секції.</w:t>
      </w:r>
    </w:p>
    <w:p>
      <w:pPr>
        <w:pStyle w:val="P6"/>
        <w:widowControl w:val="0"/>
        <w:rPr>
          <w:rFonts w:ascii="Times New Roman" w:hAnsi="Times New Roman"/>
          <w:sz w:val="24"/>
          <w:szCs w:val="24"/>
        </w:rPr>
      </w:pPr>
    </w:p>
    <w:p>
      <w:pPr>
        <w:pStyle w:val="P6"/>
        <w:widowControl w:val="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наукового напряму експерта заявленій тематиці проєкту -   ТАК     / НІ 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t>У випадку відповіді «НІ» проєкт має бути переданий іншому експерту.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РОЗДІЛ  І. Змістовні показники</w:t>
      </w: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0"/>
        </w:trPr>
        <w:tc>
          <w:tcPr>
            <w:tcW w:w="5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роботи 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Проєкт за тематикою та предметом спрямований на вирішення: 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важливої наукової, соціально-економічної, екологічної проблеми світового рівня або  питань безпеки та обороноздатності України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важливої соціально-економічної, наукової, прикладної або технологічної  проблеми галузевого та/або регіонального значення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поточних питань розвитку науки, технологій, суспільних практик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актуальність проєкту не можна вважати обґрунтованою 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Повнота використання світового досвіду при обґрунтуванні проблеми, теми, предмету, основних ідей, мети і завдань дослідження: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добре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частково враховано вітчизняні та не враховано закордонні напрацювання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порівняння відсутні або незадовільні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Повнота визначення </w:t>
            </w:r>
            <w:r>
              <w:rPr>
                <w:rFonts w:ascii="Times New Roman" w:hAnsi="Times New Roman"/>
                <w:sz w:val="24"/>
                <w:szCs w:val="24"/>
                <w:spacing w:val="-2"/>
              </w:rPr>
              <w:t>очікуваних пізнавальних результатів: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представлено повно і переконливо, наведено проєкти наукових описів та пояснень, розкрито попередні описи встановлюваних закономірностей, створюваних моделей, теорій та/або концепцій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представлено в основному добре, наведено проєкти наукових описів та пояснень, частково представлено описи встановлюваних закономірностей, створюваних моделей, теорій та/або концепцій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наукові результати проголошено (названо), але не розкрито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визначено незадовільно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Наукова новизна та оригінальність очікуваних результатів: 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результати відповідають або й перевищують показники відповідних аналогів/прототипів світового рівня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будуть новими для України, що достатньо обґрунтовано порівняннями з вітчизняними аналогами, прототипами та іншим світовим доробком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матимуть певну новизну, що обґрунтовано порівняннями із світовими аналогами, прототипами та іншим світовим доробком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новизна результатів проголошується, але не обґрунтовується або є сумнівною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результати не є новими та оригінальними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Методологічна цінність, наявність, повнота розкриття та обґрунтованість новостворюваних підходів, методів і засобів наукових досліджень, можливість їх застосування як міждисциплінарних: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та/або підходи визнані світовою наукою, однак потребують адаптації та доопрацювання українськими авторами для імплементації у вітчизняних умовах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робота не матиме методологічної цінності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цінність очікуваних результатів роботи (що підтверджується листами підтримки потенційних замовників), (окрім системи освіти):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 для наукового та соціально-економічного (зокрема суспільного) розвитку країни в цілому або декількох галузей, безпеки та обороноздатності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trike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 для окремої галузі економіки та суспільства, технологій, суспільних практик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проголошується і може мати місце, але обґрунтування сумнівні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практична цінність відсутня або недостатня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цінність очікуваних результатів роботи для системи освіти: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 мати місце, але обґрунтування неповне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цінність для системи освіти сумнівна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949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за Розділом І  (0 - 30)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Якщо проєкт за Розділом І одержує сумарний бал </w:t>
      </w:r>
      <w:r>
        <w:rPr>
          <w:rFonts w:ascii="Times New Roman" w:hAnsi="Times New Roman"/>
          <w:b w:val="1"/>
          <w:sz w:val="24"/>
          <w:szCs w:val="24"/>
        </w:rPr>
        <w:t>менше 15</w:t>
      </w:r>
      <w:r>
        <w:rPr>
          <w:rFonts w:ascii="Times New Roman" w:hAnsi="Times New Roman"/>
          <w:sz w:val="24"/>
          <w:szCs w:val="24"/>
        </w:rPr>
        <w:t xml:space="preserve"> або має оцінку </w:t>
      </w:r>
      <w:r>
        <w:rPr>
          <w:rFonts w:ascii="Times New Roman" w:hAnsi="Times New Roman"/>
          <w:b w:val="1"/>
          <w:sz w:val="24"/>
          <w:szCs w:val="24"/>
        </w:rPr>
        <w:t>«0»</w:t>
      </w:r>
      <w:r>
        <w:rPr>
          <w:rFonts w:ascii="Times New Roman" w:hAnsi="Times New Roman"/>
          <w:sz w:val="24"/>
          <w:szCs w:val="24"/>
        </w:rPr>
        <w:t xml:space="preserve"> хоча б у одному з пунктів 1, 2, 4 або 6, він вважається</w:t>
      </w:r>
      <w:r>
        <w:rPr>
          <w:rFonts w:ascii="Times New Roman" w:hAnsi="Times New Roman"/>
          <w:b w:val="1"/>
          <w:i w:val="1"/>
          <w:sz w:val="24"/>
          <w:szCs w:val="24"/>
        </w:rPr>
        <w:t xml:space="preserve"> незадовільним </w:t>
      </w:r>
      <w:r>
        <w:rPr>
          <w:rFonts w:ascii="Times New Roman" w:hAnsi="Times New Roman"/>
          <w:sz w:val="24"/>
          <w:szCs w:val="24"/>
        </w:rPr>
        <w:t>незалежно від оцінок інших пунктів і розділів.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РОЗДІЛ ІІ*. Науковий доробок та досвід авторів за напрямом проєкту (за попередні 5 років </w:t>
      </w:r>
      <w:r>
        <w:rPr>
          <w:rFonts w:ascii="Times New Roman" w:hAnsi="Times New Roman"/>
          <w:sz w:val="24"/>
          <w:szCs w:val="24"/>
        </w:rPr>
        <w:t>(включно з роком подання запиту))</w:t>
      </w:r>
      <w:r>
        <w:rPr>
          <w:rFonts w:ascii="Times New Roman" w:hAnsi="Times New Roman"/>
          <w:b w:val="1"/>
          <w:sz w:val="24"/>
          <w:szCs w:val="24"/>
        </w:rPr>
        <w:t xml:space="preserve"> </w:t>
      </w:r>
      <w:r>
        <w:rPr>
          <w:rFonts w:ascii="Times New Roman" w:hAnsi="Times New Roman"/>
          <w:i w:val="1"/>
          <w:sz w:val="24"/>
          <w:szCs w:val="24"/>
        </w:rPr>
        <w:t>Оцінюються показники на відповідність напряму, меті, об’єкту, предмету та завданням проєкту. Експерт зобов’язаний не зараховувати їх у разі повної невідповідності.</w:t>
      </w:r>
    </w:p>
    <w:tbl>
      <w:tblPr>
        <w:tblW w:w="1031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rPr>
          <w:trHeight w:hRule="atLeast" w:val="887"/>
        </w:trPr>
        <w:tc>
          <w:tcPr>
            <w:tcW w:w="5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Назви показників доробку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Взяти кількість із запиту на прикладне дослідження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 відповідні бали</w:t>
            </w:r>
          </w:p>
        </w:tc>
      </w:tr>
      <w:tr>
        <w:trPr>
          <w:trHeight w:hRule="atLeast" w:val="284"/>
        </w:trP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Сумарний h-індекс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керівника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авторів проєкту згідно БД Scopus або WoS (Google Scholar для соціо-гуманітарних наук)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 (0-5)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75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(6-20)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113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 (21-30)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150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(31-45)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88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(46-60)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0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і більше </w:t>
              <w:br w:type="textWrapping"/>
              <w:t>(61 і більше)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323"/>
        </w:trP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Сумарна кількість цитувань наукових публікацій керівника та 4 авторів проєкту з</w:t>
            </w:r>
            <w:r>
              <w:rPr>
                <w:rFonts w:ascii="Times New Roman" w:hAnsi="Times New Roman"/>
                <w:sz w:val="24"/>
                <w:szCs w:val="24"/>
                <w:spacing w:val="-2"/>
              </w:rPr>
              <w:t>гідно БД Scopus або WoS (Google Scholar для соціо-гуманітарних наук)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  <w:spacing w:val="-2"/>
              </w:rPr>
              <w:t>0-10 (0-50)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323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  <w:spacing w:val="-2"/>
              </w:rPr>
              <w:t>11-24 (51-100)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323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  <w:spacing w:val="-2"/>
              </w:rPr>
              <w:t>25-40 (101-150)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323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  <w:spacing w:val="-2"/>
              </w:rPr>
              <w:t>41-60 (151-200)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323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  <w:spacing w:val="-2"/>
              </w:rPr>
              <w:t>61-120 (201-250)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323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  <w:spacing w:val="-2"/>
              </w:rPr>
              <w:t xml:space="preserve">121 і більше </w:t>
              <w:br w:type="textWrapping"/>
              <w:t>(251 і більше)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статей у журналах, що індексуються в наукометричних базах даних WoS та/або Scopus. Для проєктів оборонного і подвійного призначення допускаються відомості про статті у виданнях, які містять інформацію, що становить державну таємницю.</w:t>
            </w:r>
          </w:p>
          <w:p>
            <w:pPr>
              <w:pStyle w:val="P1"/>
              <w:ind w:right="-222"/>
              <w:rPr>
                <w:i w:val="1"/>
                <w:color w:val="auto"/>
              </w:rPr>
            </w:pPr>
            <w:r>
              <w:rPr>
                <w:i w:val="1"/>
              </w:rPr>
              <w:t>У разі наявності публікацій, які були опубліковані в журналах квартилю Q</w:t>
            </w:r>
            <w:r>
              <w:rPr>
                <w:i w:val="1"/>
                <w:vertAlign w:val="subscript"/>
              </w:rPr>
              <w:t>1-2</w:t>
            </w:r>
            <w:r>
              <w:rPr>
                <w:i w:val="1"/>
              </w:rPr>
              <w:t>, одна публікація зараховується за дві.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53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37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4-5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848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і більше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51"/>
        </w:trP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опублікованих статей у наукових фахових журналах України, що відносяться до категорії «Б», статті у закордонних наукових виданнях, що не оцінені за п.3, а також англомовні тези доповідей у матеріалах міжнародних конференцій, що індексуються науково-метричними базами даних WoS або Scopus.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37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7-10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32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11-14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562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 більше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159"/>
        </w:trP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патентів України або інших країн на винахід чи охоронних документів на промисловий зразок/корисну модель (для соціо-гуманітарних наук свідоцтва про реєстрацію авторського права на твір) чи інші отримані охоронні документи на об’єкти права інтелектуальної власності (ОПІВ)).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Один патент на винахід України зараховується за два ОПІВ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Один патент на винахід інших країн зараховується за п’ять ОПІВ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1 - 2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159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562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і більше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монографій (розділів монографій) за напрямом проєкту, виданих міжнародними видавництвами офіційними мовами Європейського Союзу або монографії, які містять інформацію, що становить державну таємницю для проєктів оборонного і подвійного призначення, які не входять в п.3.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д.а.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533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д.а. і більше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монографій (розділів монографій) за напрямом проєкту, що опубліковані українською мовою в українських видавництвах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д.а.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335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д.а.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5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Захищені дисертації доктора філософії (кандидата наук) авторами проєкту або під керівництвом авторів проєкту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56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Захищені дисертації доктора наук авторами проєкту або під консультуванням авторів проєкту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і більше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загальноуніверситетських наукових грантів та проєктів, зокрема тих, що фінансуються з бюджету МОН України, за тематикою проєкту, за якими працювали автори проєкту, що фінансувались закордонними та/чи вітчизняними організаціями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566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Авторами проєкту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– до 250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56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– до 250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c>
          <w:tcPr>
            <w:tcW w:w="56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– до 500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68"/>
        </w:trPr>
        <w:tc>
          <w:tcPr>
            <w:tcW w:w="56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– до 600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68"/>
        </w:trPr>
        <w:tc>
          <w:tcPr>
            <w:tcW w:w="56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 і більше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hRule="atLeast" w:val="263"/>
        </w:trPr>
        <w:tc>
          <w:tcPr>
            <w:tcW w:w="56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ЗВО/НУ атестований за науковим напрямом, що відповідає напряму досліджень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54"/>
        </w:trPr>
        <w:tc>
          <w:tcPr>
            <w:tcW w:w="56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74"/>
        </w:trPr>
        <w:tc>
          <w:tcPr>
            <w:tcW w:w="9322" w:type="dxa"/>
            <w:gridSpan w:val="3"/>
            <w:tcBorders>
              <w:top w:val="single" w:sz="4" w:space="0" w:shadow="0" w:frame="0"/>
              <w:lef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за Розділом ІІ  (0 - 40)</w:t>
            </w:r>
          </w:p>
          <w:p>
            <w:pPr>
              <w:spacing w:lineRule="auto" w:line="240" w:after="0" w:beforeAutospacing="0" w:afterAutospacing="0"/>
              <w:ind w:right="-108"/>
              <w:rPr>
                <w:rFonts w:ascii="Times New Roman" w:hAnsi="Times New Roman"/>
                <w:i w:val="1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проєкт</w:t>
            </w:r>
          </w:p>
          <w:p>
            <w:pPr>
              <w:spacing w:lineRule="auto" w:line="240" w:after="0" w:beforeAutospacing="0" w:afterAutospacing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 xml:space="preserve">2. Квартилі </w:t>
            </w:r>
            <w:r>
              <w:rPr>
                <w:rFonts w:ascii="Times New Roman" w:hAnsi="Times New Roman"/>
                <w:i w:val="1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i w:val="1"/>
                <w:sz w:val="24"/>
                <w:szCs w:val="24"/>
              </w:rPr>
              <w:t xml:space="preserve"> визначаються за класифікацією Journal Citation Reports або Scimago;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</w:t>
            </w:r>
          </w:p>
        </w:tc>
        <w:tc>
          <w:tcPr>
            <w:tcW w:w="992" w:type="dxa"/>
            <w:tcBorders>
              <w:top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РОЗДІЛ ІІІ. Очікувані результати за тематикою проєкту</w:t>
      </w: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rPr>
          <w:trHeight w:hRule="atLeast" w:val="20"/>
        </w:trPr>
        <w:tc>
          <w:tcPr>
            <w:tcW w:w="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Назви показників очікуваних результатів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Взяти кількість із запиту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 відповідні бали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Нові знання, призначені для створення нових або вдосконалення існуючих (вказати одне значення): 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матеріалів, продуктів, пристроїв, систем, технологій - як завершене комплексне рішення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матеріалів, продуктів, пристроїв, систем, технологій - як ключовий складовий елемент/-и рішення вищого рівня (надсистеми)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 укладено господарчі договори, продані ліцензії, отримано грантові угоди як впровадження наукових або науково-практичних результатів проєкту (% від суми проєкту)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5% до 20%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20 до 50%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понад 50%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 отримано охоронних документів на об’єкти права інтелектуальної власності (у тому числі свідоцтв на реєстрацію авторського права на твір, патентів на винахід)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  <w:szCs w:val="24"/>
                <w:u w:val="single"/>
              </w:rPr>
              <w:t>обрати одну із позицій, яка найбільш релевантна</w:t>
            </w:r>
            <w:r>
              <w:rPr>
                <w:rFonts w:ascii="Times New Roman" w:hAnsi="Times New Roman"/>
                <w:i w:val="1"/>
                <w:sz w:val="24"/>
                <w:szCs w:val="24"/>
              </w:rPr>
              <w:t>):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патенти на винахід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144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shd w:val="clear" w:fill="auto"/>
              <w:spacing w:lineRule="auto" w:line="240" w:beforeAutospacing="0" w:afterAutospac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патенти на корисну модель</w:t>
            </w:r>
          </w:p>
        </w:tc>
        <w:tc>
          <w:tcPr>
            <w:tcW w:w="1407" w:type="dxa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1144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свідоцтва на авторський твір, патент на промисловий зразок</w:t>
            </w:r>
          </w:p>
        </w:tc>
        <w:tc>
          <w:tcPr>
            <w:tcW w:w="1407" w:type="dxa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shd w:val="clear" w:fill="auto"/>
              <w:spacing w:lineRule="auto" w:line="240"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і більше</w:t>
            </w:r>
          </w:p>
        </w:tc>
        <w:tc>
          <w:tcPr>
            <w:tcW w:w="1144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Будуть опубліковані статті у наукових журналах, що входять до науково-метричних баз даних WoS та/або Scopus, або публікації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Будуть опубліковані за темою проєкту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Будуть представлені науково-практичні результати проєкту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ел.версію заходу/матеріалів/каталогів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і більше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 отримано актів впровадження результатів реалізації проєктів у господарську практику органів державної влади, наукоємних підприємств, приватних компаній (на договірній основі) тощо</w:t>
            </w: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9063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за Розділом ІІІ  (0 - 30)</w:t>
            </w:r>
          </w:p>
        </w:tc>
        <w:tc>
          <w:tcPr>
            <w:tcW w:w="11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</w:p>
    <w:tbl>
      <w:tblPr>
        <w:tblW w:w="10173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0"/>
        </w:trPr>
        <w:tc>
          <w:tcPr>
            <w:tcW w:w="9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ІV. Сума показників за Розділами I – IІІ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Сума: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sz w:val="24"/>
                <w:szCs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 xml:space="preserve"> 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88"/>
        </w:trPr>
        <w:tc>
          <w:tcPr>
            <w:tcW w:w="71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V.</w:t>
            </w: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Експерт вважає, що строки виконання проєкту: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</w:t>
            </w:r>
          </w:p>
        </w:tc>
      </w:tr>
      <w:tr>
        <w:trPr>
          <w:trHeight w:hRule="atLeast" w:val="264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добре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8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задовільно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викликають сумніви, доцільно збільшити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викликають сумніви, доцільно зменшити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незадовільно або необґрунтовані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58"/>
        </w:trPr>
        <w:tc>
          <w:tcPr>
            <w:tcW w:w="71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VI.</w:t>
            </w: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Експерт вважає, що фінансування проєкту: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</w:t>
            </w:r>
          </w:p>
        </w:tc>
      </w:tr>
      <w:tr>
        <w:trPr>
          <w:trHeight w:hRule="atLeast" w:val="264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добре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8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задовільно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викликає сумніви, занадто високе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викликає сумніви, занадто низьке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незадовільно або необґрунтовані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rPr>
          <w:trHeight w:hRule="atLeast" w:val="273"/>
        </w:trPr>
        <w:tc>
          <w:tcPr>
            <w:tcW w:w="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VII.</w:t>
            </w:r>
          </w:p>
        </w:tc>
        <w:tc>
          <w:tcPr>
            <w:tcW w:w="9497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Експерт вважає, що колектив здатен виконати проєкт на належному рівні (зайве викресл.)</w:t>
            </w:r>
          </w:p>
        </w:tc>
      </w:tr>
      <w:tr>
        <w:trPr>
          <w:trHeight w:hRule="atLeast" w:val="273"/>
        </w:trPr>
        <w:tc>
          <w:tcPr>
            <w:tcW w:w="297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5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  ПЕВНИХ    УМОВ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 xml:space="preserve">Коментар експерта: </w:t>
      </w:r>
      <w:r>
        <w:rPr>
          <w:rFonts w:ascii="Times New Roman" w:hAnsi="Times New Roman"/>
          <w:b w:val="1"/>
          <w:sz w:val="24"/>
          <w:szCs w:val="24"/>
        </w:rPr>
        <w:t>(Коментар експерта обов’язковий. Висновок без коментаря недійсний)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Експерт: _____________________________</w:t>
        <w:tab/>
        <w:tab/>
        <w:t>______________</w:t>
        <w:tab/>
        <w:tab/>
        <w:t>______</w:t>
      </w:r>
    </w:p>
    <w:p>
      <w:pPr>
        <w:spacing w:lineRule="auto" w:line="240" w:after="0" w:beforeAutospacing="0" w:afterAutospacing="0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</w:t>
        <w:tab/>
        <w:tab/>
        <w:tab/>
        <w:tab/>
        <w:tab/>
        <w:tab/>
        <w:t>Підпис</w:t>
        <w:tab/>
        <w:tab/>
        <w:t>Дата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before="0" w:after="0" w:beforeAutospacing="0" w:afterAutospacing="0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Т.в.о. генерального директора</w:t>
      </w:r>
    </w:p>
    <w:p>
      <w:pPr>
        <w:spacing w:lineRule="auto" w:line="240" w:before="0" w:after="0" w:beforeAutospacing="0" w:afterAutospacing="0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директорату науки та інновацій</w:t>
        <w:tab/>
        <w:tab/>
        <w:tab/>
        <w:tab/>
        <w:tab/>
        <w:t>Оксана КРУКЕВИЧ</w:t>
      </w:r>
    </w:p>
    <w:p>
      <w:pPr>
        <w:spacing w:lineRule="auto" w:line="240" w:beforeAutospacing="0" w:afterAutospacing="0"/>
        <w:ind w:hanging="2"/>
        <w:rPr>
          <w:rFonts w:ascii="Times New Roman" w:hAnsi="Times New Roman"/>
          <w:sz w:val="24"/>
          <w:szCs w:val="24"/>
        </w:rPr>
      </w:pPr>
    </w:p>
    <w:sectPr>
      <w:type w:val="nextPage"/>
      <w:pgSz w:w="11906" w:h="16838" w:code="0"/>
      <w:pgMar w:left="1276" w:right="851" w:top="1134" w:bottom="851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0AB072E"/>
    <w:multiLevelType w:val="hybridMultilevel"/>
    <w:lvl w:ilvl="0" w:tplc="400452DC">
      <w:start w:val="1"/>
      <w:numFmt w:val="bullet"/>
      <w:suff w:val="tab"/>
      <w:lvlText w:val="-"/>
      <w:lvlJc w:val="left"/>
      <w:pPr>
        <w:ind w:hanging="360" w:left="420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1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18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5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3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0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47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4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180"/>
      </w:pPr>
      <w:rPr>
        <w:rFonts w:ascii="Wingdings" w:hAnsi="Wingdings"/>
      </w:rPr>
    </w:lvl>
  </w:abstractNum>
  <w:abstractNum w:abstractNumId="1">
    <w:nsid w:val="50E80A60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doNotHyphenateCaps w:val="1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  <w:lang w:val="uk-UA" w:eastAsia="en-US"/>
    </w:rPr>
  </w:style>
  <w:style w:type="paragraph" w:styleId="P1">
    <w:name w:val="Default"/>
    <w:pPr/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P2">
    <w:name w:val="Plain Text"/>
    <w:basedOn w:val="P0"/>
    <w:link w:val="C3"/>
    <w:pPr>
      <w:spacing w:lineRule="auto" w:line="240" w:after="0" w:beforeAutospacing="0" w:afterAutospacing="0"/>
    </w:pPr>
    <w:rPr>
      <w:rFonts w:ascii="Courier New" w:hAnsi="Courier New"/>
      <w:sz w:val="20"/>
      <w:szCs w:val="20"/>
      <w:lang w:val="ru-RU" w:eastAsia="ru-RU"/>
    </w:rPr>
  </w:style>
  <w:style w:type="paragraph" w:styleId="P3">
    <w:name w:val="Абзац списку1"/>
    <w:basedOn w:val="P0"/>
    <w:pPr>
      <w:ind w:left="720"/>
    </w:pPr>
    <w:rPr/>
  </w:style>
  <w:style w:type="paragraph" w:styleId="P4">
    <w:name w:val="Основной текст (2)"/>
    <w:basedOn w:val="P0"/>
    <w:link w:val="C4"/>
    <w:pPr>
      <w:widowControl w:val="0"/>
      <w:shd w:val="clear" w:fill="FFFFFF"/>
      <w:spacing w:lineRule="exact" w:line="278" w:after="0" w:beforeAutospacing="0" w:afterAutospacing="0"/>
      <w:jc w:val="both"/>
    </w:pPr>
    <w:rPr>
      <w:rFonts w:ascii="Times New Roman" w:hAnsi="Times New Roman"/>
      <w:sz w:val="20"/>
      <w:szCs w:val="20"/>
      <w:lang w:eastAsia="uk-UA"/>
    </w:rPr>
  </w:style>
  <w:style w:type="paragraph" w:styleId="P5">
    <w:name w:val="List Paragraph"/>
    <w:basedOn w:val="P0"/>
    <w:qFormat/>
    <w:pPr>
      <w:suppressAutoHyphens w:val="1"/>
      <w:spacing w:lineRule="atLeast" w:line="1" w:after="0" w:beforeAutospacing="0" w:afterAutospacing="0"/>
      <w:ind w:hanging="1" w:left="720"/>
      <w:contextualSpacing w:val="1"/>
      <w:outlineLvl w:val="0"/>
    </w:pPr>
    <w:rPr>
      <w:rFonts w:ascii="Times New Roman" w:hAnsi="Times New Roman"/>
      <w:sz w:val="24"/>
      <w:szCs w:val="24"/>
      <w:position w:val="-1"/>
      <w:lang w:val="ru-RU" w:eastAsia="ru-RU"/>
    </w:rPr>
  </w:style>
  <w:style w:type="paragraph" w:styleId="P6">
    <w:name w:val="No Spacing"/>
    <w:qFormat/>
    <w:pPr/>
    <w:rPr>
      <w:sz w:val="22"/>
      <w:szCs w:val="22"/>
      <w:lang w:val="uk-UA" w:eastAsia="en-US"/>
    </w:rPr>
  </w:style>
  <w:style w:type="paragraph" w:styleId="P7">
    <w:name w:val="Balloon Text"/>
    <w:basedOn w:val="P0"/>
    <w:link w:val="C5"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8">
    <w:name w:val="Звичайний1"/>
    <w:pPr>
      <w:spacing w:lineRule="auto" w:line="276" w:after="200" w:beforeAutospacing="0" w:afterAutospacing="0"/>
    </w:pPr>
    <w:rPr>
      <w:sz w:val="22"/>
      <w:szCs w:val="22"/>
      <w:lang w:val="en-US" w:eastAsia="en-US"/>
    </w:rPr>
  </w:style>
  <w:style w:type="paragraph" w:styleId="P9">
    <w:name w:val="Звичайний2"/>
    <w:qFormat/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</w:pPr>
    <w:rPr>
      <w:rFonts w:ascii="Times New Roman" w:hAnsi="Times New Roman"/>
      <w:sz w:val="24"/>
      <w:szCs w:val="22"/>
      <w:lang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Знак"/>
    <w:link w:val="P2"/>
    <w:rPr>
      <w:rFonts w:ascii="Courier New" w:hAnsi="Courier New"/>
      <w:sz w:val="20"/>
      <w:szCs w:val="20"/>
      <w:lang w:val="ru-RU" w:eastAsia="ru-RU"/>
    </w:rPr>
  </w:style>
  <w:style w:type="character" w:styleId="C4">
    <w:name w:val="Основной текст (2)_"/>
    <w:link w:val="P4"/>
    <w:rPr>
      <w:rFonts w:ascii="Times New Roman" w:hAnsi="Times New Roman"/>
      <w:shd w:val="clear" w:color="auto" w:fill="FFFFFF"/>
    </w:rPr>
  </w:style>
  <w:style w:type="character" w:styleId="C5">
    <w:name w:val="Текст у виносці Знак"/>
    <w:link w:val="P7"/>
    <w:rPr>
      <w:rFonts w:ascii="Segoe UI" w:hAnsi="Segoe UI"/>
      <w:sz w:val="18"/>
      <w:szCs w:val="18"/>
      <w:lang w:eastAsia="en-US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Microsoft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SANDYGA I.V.</dc:creator>
  <dcterms:created xsi:type="dcterms:W3CDTF">2022-11-14T11:54:00Z</dcterms:created>
  <cp:lastModifiedBy>erp_adm</cp:lastModifiedBy>
  <cp:lastPrinted>2021-09-22T09:16:00Z</cp:lastPrinted>
  <dcterms:modified xsi:type="dcterms:W3CDTF">2022-11-17T11:41:17Z</dcterms:modified>
  <cp:revision>5</cp:revision>
</cp:coreProperties>
</file>