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>
        <w:rPr>
          <w:sz w:val="28"/>
          <w:szCs w:val="28"/>
          <w:lang w:val="uk-UA"/>
        </w:rPr>
        <w:t xml:space="preserve"> історії, політології і міжнародних відносин</w:t>
      </w: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:rsidR="00395013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Кафедра </w:t>
      </w:r>
      <w:r w:rsidR="00C735C2">
        <w:rPr>
          <w:sz w:val="28"/>
          <w:szCs w:val="28"/>
          <w:lang w:val="uk-UA"/>
        </w:rPr>
        <w:t>політології</w:t>
      </w:r>
      <w:r w:rsidRPr="00B93336">
        <w:rPr>
          <w:sz w:val="28"/>
          <w:szCs w:val="28"/>
          <w:lang w:val="uk-UA"/>
        </w:rPr>
        <w:t xml:space="preserve"> 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Меншини в сфері публічних відносин</w:t>
      </w:r>
    </w:p>
    <w:p w:rsidR="00B94F0E" w:rsidRDefault="00B94F0E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B94F0E" w:rsidRDefault="00B93336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94F0E">
        <w:rPr>
          <w:sz w:val="28"/>
          <w:szCs w:val="28"/>
          <w:lang w:val="uk-UA"/>
        </w:rPr>
        <w:t xml:space="preserve">Освітня </w:t>
      </w:r>
      <w:r w:rsidR="00B94F0E" w:rsidRPr="00B94F0E">
        <w:rPr>
          <w:sz w:val="28"/>
          <w:szCs w:val="28"/>
          <w:lang w:val="uk-UA"/>
        </w:rPr>
        <w:t>про</w:t>
      </w:r>
      <w:r w:rsidR="00B94F0E">
        <w:rPr>
          <w:sz w:val="28"/>
          <w:szCs w:val="28"/>
          <w:lang w:val="uk-UA"/>
        </w:rPr>
        <w:t>грама  Політологія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052 Політологія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05 Соціальні та поведінкові науки</w:t>
      </w: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jc w:val="center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right"/>
        <w:rPr>
          <w:sz w:val="28"/>
          <w:szCs w:val="28"/>
          <w:lang w:val="uk-UA"/>
        </w:rPr>
      </w:pPr>
    </w:p>
    <w:p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 політичних інститутів та процесів</w:t>
      </w:r>
    </w:p>
    <w:p w:rsidR="00B94F0E" w:rsidRDefault="00B94F0E" w:rsidP="00B94F0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1 від </w:t>
      </w:r>
      <w:r w:rsidRPr="00820F08">
        <w:rPr>
          <w:sz w:val="28"/>
          <w:szCs w:val="28"/>
        </w:rPr>
        <w:t>“</w:t>
      </w:r>
      <w:r w:rsidR="00C735C2">
        <w:rPr>
          <w:sz w:val="28"/>
          <w:szCs w:val="28"/>
          <w:lang w:val="uk-UA"/>
        </w:rPr>
        <w:t>31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серпня 202</w:t>
      </w:r>
      <w:r w:rsidR="00C735C2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р.  </w:t>
      </w: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tabs>
          <w:tab w:val="left" w:pos="4365"/>
        </w:tabs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Default="00B94F0E" w:rsidP="00B94F0E">
      <w:pPr>
        <w:jc w:val="both"/>
        <w:rPr>
          <w:sz w:val="28"/>
          <w:szCs w:val="28"/>
          <w:lang w:val="uk-UA"/>
        </w:rPr>
      </w:pPr>
    </w:p>
    <w:p w:rsidR="00B94F0E" w:rsidRPr="00BC32A7" w:rsidRDefault="00B94F0E" w:rsidP="00B94F0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</w:t>
      </w:r>
      <w:r w:rsidR="00C735C2">
        <w:rPr>
          <w:sz w:val="28"/>
          <w:szCs w:val="28"/>
          <w:lang w:val="uk-UA"/>
        </w:rPr>
        <w:t>1</w:t>
      </w:r>
    </w:p>
    <w:p w:rsidR="00B94F0E" w:rsidRDefault="00B94F0E" w:rsidP="00B94F0E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42"/>
        <w:gridCol w:w="510"/>
        <w:gridCol w:w="359"/>
        <w:gridCol w:w="138"/>
        <w:gridCol w:w="144"/>
        <w:gridCol w:w="994"/>
        <w:gridCol w:w="744"/>
        <w:gridCol w:w="1356"/>
        <w:gridCol w:w="308"/>
        <w:gridCol w:w="1417"/>
        <w:gridCol w:w="1134"/>
        <w:gridCol w:w="1525"/>
      </w:tblGrid>
      <w:tr w:rsidR="00C67355" w:rsidRPr="00C67355" w:rsidTr="006325D4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6325D4">
        <w:tc>
          <w:tcPr>
            <w:tcW w:w="1949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622" w:type="dxa"/>
            <w:gridSpan w:val="8"/>
          </w:tcPr>
          <w:p w:rsidR="002C2330" w:rsidRPr="00C67355" w:rsidRDefault="00B94F0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Меншини в сфері публічних відносин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071F79" w:rsidRDefault="00B94F0E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7622" w:type="dxa"/>
            <w:gridSpan w:val="8"/>
          </w:tcPr>
          <w:p w:rsidR="00B94F0E" w:rsidRDefault="00B94F0E" w:rsidP="00737A39">
            <w:pPr>
              <w:tabs>
                <w:tab w:val="left" w:pos="8656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Перший (бакалаврський) рівень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622" w:type="dxa"/>
            <w:gridSpan w:val="8"/>
          </w:tcPr>
          <w:p w:rsidR="00B94F0E" w:rsidRPr="00726773" w:rsidRDefault="00C735C2" w:rsidP="00737A39">
            <w:pPr>
              <w:jc w:val="both"/>
            </w:pPr>
            <w:proofErr w:type="spellStart"/>
            <w:r>
              <w:rPr>
                <w:lang w:val="uk-UA"/>
              </w:rPr>
              <w:t>Монолатій</w:t>
            </w:r>
            <w:proofErr w:type="spellEnd"/>
            <w:r>
              <w:rPr>
                <w:lang w:val="uk-UA"/>
              </w:rPr>
              <w:t xml:space="preserve"> Іван Сергійович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622" w:type="dxa"/>
            <w:gridSpan w:val="8"/>
          </w:tcPr>
          <w:p w:rsidR="00B94F0E" w:rsidRPr="00050A44" w:rsidRDefault="00C735C2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+380955826111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622" w:type="dxa"/>
            <w:gridSpan w:val="8"/>
          </w:tcPr>
          <w:p w:rsidR="00C735C2" w:rsidRDefault="00C735C2" w:rsidP="00C735C2">
            <w:pPr>
              <w:jc w:val="both"/>
              <w:rPr>
                <w:lang w:val="en-US"/>
              </w:rPr>
            </w:pPr>
            <w:hyperlink r:id="rId6" w:history="1">
              <w:r w:rsidRPr="0083437F">
                <w:rPr>
                  <w:rStyle w:val="a8"/>
                  <w:lang w:val="en-US"/>
                </w:rPr>
                <w:t>ivan</w:t>
              </w:r>
              <w:r w:rsidRPr="0083437F">
                <w:rPr>
                  <w:rStyle w:val="a8"/>
                  <w:lang w:val="uk-UA"/>
                </w:rPr>
                <w:t>.</w:t>
              </w:r>
              <w:r w:rsidRPr="0083437F">
                <w:rPr>
                  <w:rStyle w:val="a8"/>
                  <w:lang w:val="en-US"/>
                </w:rPr>
                <w:t>monolatii</w:t>
              </w:r>
              <w:r w:rsidRPr="0083437F">
                <w:rPr>
                  <w:rStyle w:val="a8"/>
                  <w:lang w:val="uk-UA"/>
                </w:rPr>
                <w:t>@</w:t>
              </w:r>
              <w:r w:rsidRPr="0083437F">
                <w:rPr>
                  <w:rStyle w:val="a8"/>
                  <w:lang w:val="en-US"/>
                </w:rPr>
                <w:t>pnu</w:t>
              </w:r>
              <w:r w:rsidRPr="0083437F">
                <w:rPr>
                  <w:rStyle w:val="a8"/>
                  <w:lang w:val="uk-UA"/>
                </w:rPr>
                <w:t>.</w:t>
              </w:r>
              <w:r w:rsidRPr="0083437F">
                <w:rPr>
                  <w:rStyle w:val="a8"/>
                  <w:lang w:val="en-US"/>
                </w:rPr>
                <w:t>edu</w:t>
              </w:r>
              <w:r w:rsidRPr="0083437F">
                <w:rPr>
                  <w:rStyle w:val="a8"/>
                  <w:lang w:val="uk-UA"/>
                </w:rPr>
                <w:t>.</w:t>
              </w:r>
              <w:proofErr w:type="spellStart"/>
              <w:r w:rsidRPr="0083437F">
                <w:rPr>
                  <w:rStyle w:val="a8"/>
                  <w:lang w:val="en-US"/>
                </w:rPr>
                <w:t>ua</w:t>
              </w:r>
              <w:proofErr w:type="spellEnd"/>
            </w:hyperlink>
          </w:p>
          <w:p w:rsidR="00B94F0E" w:rsidRPr="00FF1697" w:rsidRDefault="00B94F0E" w:rsidP="00737A39">
            <w:pPr>
              <w:jc w:val="both"/>
              <w:rPr>
                <w:lang w:val="en-US"/>
              </w:rPr>
            </w:pP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622" w:type="dxa"/>
            <w:gridSpan w:val="8"/>
          </w:tcPr>
          <w:p w:rsidR="00B94F0E" w:rsidRDefault="00B94F0E" w:rsidP="00737A39">
            <w:pPr>
              <w:jc w:val="both"/>
              <w:rPr>
                <w:lang w:val="uk-UA"/>
              </w:rPr>
            </w:pPr>
            <w:r w:rsidRPr="00726773">
              <w:t>2</w:t>
            </w:r>
            <w:r>
              <w:rPr>
                <w:lang w:val="uk-UA"/>
              </w:rPr>
              <w:t>.Цикл професійної підготовки</w:t>
            </w:r>
          </w:p>
          <w:p w:rsidR="00B94F0E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2.2.Вибіркові дисципліни</w:t>
            </w:r>
          </w:p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2.2.2.Дисципліни вільного вибору студента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622" w:type="dxa"/>
            <w:gridSpan w:val="8"/>
          </w:tcPr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90 годин, 3 кредити </w:t>
            </w:r>
            <w:r>
              <w:rPr>
                <w:lang w:val="en-US"/>
              </w:rPr>
              <w:t>ECTS</w:t>
            </w:r>
          </w:p>
        </w:tc>
      </w:tr>
      <w:tr w:rsidR="00B94F0E" w:rsidRPr="00C735C2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622" w:type="dxa"/>
            <w:gridSpan w:val="8"/>
          </w:tcPr>
          <w:p w:rsidR="00B94F0E" w:rsidRPr="00F4094B" w:rsidRDefault="00B94F0E" w:rsidP="00737A39">
            <w:pPr>
              <w:jc w:val="both"/>
              <w:rPr>
                <w:lang w:val="uk-UA"/>
              </w:rPr>
            </w:pPr>
            <w:r w:rsidRPr="00B94F0E">
              <w:rPr>
                <w:lang w:val="uk-UA"/>
              </w:rPr>
              <w:t>https://d-learn.pnu.edu.ua/index.php?mod=course&amp;action=ReviewOneCourse&amp;id_cat=183&amp;id_cou=5602</w:t>
            </w:r>
          </w:p>
        </w:tc>
      </w:tr>
      <w:tr w:rsidR="00B94F0E" w:rsidRPr="00C67355" w:rsidTr="006325D4">
        <w:tc>
          <w:tcPr>
            <w:tcW w:w="1949" w:type="dxa"/>
            <w:gridSpan w:val="4"/>
          </w:tcPr>
          <w:p w:rsidR="00B94F0E" w:rsidRPr="00C67355" w:rsidRDefault="00B94F0E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622" w:type="dxa"/>
            <w:gridSpan w:val="8"/>
          </w:tcPr>
          <w:p w:rsidR="00B94F0E" w:rsidRPr="00C70A34" w:rsidRDefault="00B94F0E" w:rsidP="00737A3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Вівторок 15:00-16:00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C67355" w:rsidRDefault="00B94F0E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B94F0E">
            <w:pPr>
              <w:ind w:firstLine="708"/>
              <w:jc w:val="both"/>
            </w:pPr>
            <w:r w:rsidRPr="00A012CD">
              <w:t xml:space="preserve">Проблема </w:t>
            </w:r>
            <w:proofErr w:type="spellStart"/>
            <w:r w:rsidRPr="00A012CD">
              <w:t>захисту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політичних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культурних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освітніх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інших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інтересів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стало за </w:t>
            </w:r>
            <w:proofErr w:type="spellStart"/>
            <w:r w:rsidR="00230E39" w:rsidRPr="00A012CD">
              <w:t>останні</w:t>
            </w:r>
            <w:proofErr w:type="spellEnd"/>
            <w:r w:rsidR="00230E39" w:rsidRPr="00A012CD">
              <w:t xml:space="preserve"> роки </w:t>
            </w:r>
            <w:proofErr w:type="spellStart"/>
            <w:r w:rsidR="00230E39" w:rsidRPr="00A012CD">
              <w:t>важливим</w:t>
            </w:r>
            <w:proofErr w:type="spellEnd"/>
            <w:r w:rsidR="00230E39" w:rsidRPr="00A012CD">
              <w:t xml:space="preserve"> </w:t>
            </w:r>
            <w:proofErr w:type="spellStart"/>
            <w:r w:rsidR="00230E39" w:rsidRPr="00A012CD">
              <w:t>напрямом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двосторонніх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міждержавних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відносин</w:t>
            </w:r>
            <w:proofErr w:type="spellEnd"/>
            <w:r w:rsidRPr="00A012CD">
              <w:t xml:space="preserve">. Держава покликана </w:t>
            </w:r>
            <w:proofErr w:type="spellStart"/>
            <w:r w:rsidRPr="00A012CD">
              <w:t>захищати</w:t>
            </w:r>
            <w:proofErr w:type="spellEnd"/>
            <w:r w:rsidRPr="00A012CD">
              <w:t xml:space="preserve"> права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і </w:t>
            </w:r>
            <w:proofErr w:type="spellStart"/>
            <w:r w:rsidRPr="00A012CD">
              <w:t>водночас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турбуватися</w:t>
            </w:r>
            <w:proofErr w:type="spellEnd"/>
            <w:r w:rsidRPr="00A012CD">
              <w:t xml:space="preserve"> про </w:t>
            </w:r>
            <w:proofErr w:type="spellStart"/>
            <w:r w:rsidRPr="00A012CD">
              <w:t>задоволення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інтересів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національної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діаспори</w:t>
            </w:r>
            <w:proofErr w:type="spellEnd"/>
            <w:r w:rsidRPr="00A012CD">
              <w:t xml:space="preserve"> у </w:t>
            </w:r>
            <w:proofErr w:type="spellStart"/>
            <w:r w:rsidRPr="00A012CD">
              <w:t>різних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країнах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її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проживання</w:t>
            </w:r>
            <w:proofErr w:type="spellEnd"/>
            <w:r w:rsidRPr="00A012CD">
              <w:t xml:space="preserve">. </w:t>
            </w:r>
          </w:p>
          <w:p w:rsidR="00230E39" w:rsidRPr="00A012CD" w:rsidRDefault="00230E39" w:rsidP="00B94F0E">
            <w:pPr>
              <w:ind w:firstLine="708"/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 xml:space="preserve">Публічна </w:t>
            </w:r>
            <w:proofErr w:type="spellStart"/>
            <w:r w:rsidR="00B94F0E" w:rsidRPr="00A012CD">
              <w:t>політика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держави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значною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мірою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формується</w:t>
            </w:r>
            <w:proofErr w:type="spellEnd"/>
            <w:r w:rsidR="00B94F0E" w:rsidRPr="00A012CD">
              <w:t xml:space="preserve"> через </w:t>
            </w:r>
            <w:proofErr w:type="spellStart"/>
            <w:r w:rsidR="00B94F0E" w:rsidRPr="00A012CD">
              <w:t>вплив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власної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етнонаціональної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політики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підтримкою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діаспори</w:t>
            </w:r>
            <w:proofErr w:type="spellEnd"/>
            <w:r w:rsidR="00B94F0E" w:rsidRPr="00A012CD">
              <w:t xml:space="preserve">. В </w:t>
            </w:r>
            <w:proofErr w:type="spellStart"/>
            <w:r w:rsidR="00B94F0E" w:rsidRPr="00A012CD">
              <w:t>умовах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значної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мобільності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населення</w:t>
            </w:r>
            <w:proofErr w:type="spellEnd"/>
            <w:r w:rsidR="00B94F0E" w:rsidRPr="00A012CD">
              <w:t xml:space="preserve"> та великих </w:t>
            </w:r>
            <w:proofErr w:type="spellStart"/>
            <w:r w:rsidR="00B94F0E" w:rsidRPr="00A012CD">
              <w:t>інформаційних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можливостей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зростають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урізноманітнюються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можливості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підтримки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культурних</w:t>
            </w:r>
            <w:proofErr w:type="spellEnd"/>
            <w:r w:rsidR="00B94F0E" w:rsidRPr="00A012CD">
              <w:t xml:space="preserve"> та </w:t>
            </w:r>
            <w:proofErr w:type="spellStart"/>
            <w:r w:rsidR="00B94F0E" w:rsidRPr="00A012CD">
              <w:t>освітніх</w:t>
            </w:r>
            <w:proofErr w:type="spellEnd"/>
            <w:r w:rsidR="00B94F0E" w:rsidRPr="00A012CD">
              <w:t xml:space="preserve"> потреб </w:t>
            </w:r>
            <w:proofErr w:type="spellStart"/>
            <w:r w:rsidR="00B94F0E" w:rsidRPr="00A012CD">
              <w:t>меншин</w:t>
            </w:r>
            <w:proofErr w:type="spellEnd"/>
            <w:r w:rsidR="00B94F0E" w:rsidRPr="00A012CD">
              <w:t xml:space="preserve">, </w:t>
            </w:r>
            <w:proofErr w:type="spellStart"/>
            <w:r w:rsidR="00B94F0E" w:rsidRPr="00A012CD">
              <w:t>їх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контактів</w:t>
            </w:r>
            <w:proofErr w:type="spellEnd"/>
            <w:r w:rsidR="00B94F0E" w:rsidRPr="00A012CD">
              <w:t xml:space="preserve"> з </w:t>
            </w:r>
            <w:proofErr w:type="spellStart"/>
            <w:r w:rsidR="00B94F0E" w:rsidRPr="00A012CD">
              <w:t>історичною</w:t>
            </w:r>
            <w:proofErr w:type="spellEnd"/>
            <w:r w:rsidR="00B94F0E" w:rsidRPr="00A012CD">
              <w:t xml:space="preserve"> </w:t>
            </w:r>
            <w:proofErr w:type="spellStart"/>
            <w:r w:rsidR="00B94F0E" w:rsidRPr="00A012CD">
              <w:t>батьківщиною</w:t>
            </w:r>
            <w:proofErr w:type="spellEnd"/>
            <w:r w:rsidR="00B94F0E" w:rsidRPr="00A012CD">
              <w:t xml:space="preserve">. </w:t>
            </w:r>
          </w:p>
          <w:p w:rsidR="00B94F0E" w:rsidRPr="00A012CD" w:rsidRDefault="00B94F0E" w:rsidP="00B94F0E">
            <w:pPr>
              <w:ind w:firstLine="708"/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Курс за вибором студентів “</w:t>
            </w:r>
            <w:r w:rsidR="00230E39" w:rsidRPr="00A012CD">
              <w:rPr>
                <w:lang w:val="uk-UA"/>
              </w:rPr>
              <w:t>Меншини в сфері публічних відносин</w:t>
            </w:r>
            <w:r w:rsidRPr="00A012CD">
              <w:rPr>
                <w:lang w:val="uk-UA"/>
              </w:rPr>
              <w:t xml:space="preserve">” дозволяє ознайомитися зі значенням та практичним використанням проблематики меншин у політичній стратегії та міжнародній діяльності держав світу. Він передбачає ознайомлення з теоретико-методологічним, </w:t>
            </w:r>
            <w:proofErr w:type="spellStart"/>
            <w:r w:rsidRPr="00A012CD">
              <w:rPr>
                <w:lang w:val="uk-UA"/>
              </w:rPr>
              <w:t>філософсько</w:t>
            </w:r>
            <w:proofErr w:type="spellEnd"/>
            <w:r w:rsidRPr="00A012CD">
              <w:rPr>
                <w:lang w:val="uk-UA"/>
              </w:rPr>
              <w:t>-світоглядним, політико-правовим, історико-</w:t>
            </w:r>
            <w:proofErr w:type="spellStart"/>
            <w:r w:rsidRPr="00A012CD">
              <w:rPr>
                <w:lang w:val="uk-UA"/>
              </w:rPr>
              <w:t>куультурологічним</w:t>
            </w:r>
            <w:proofErr w:type="spellEnd"/>
            <w:r w:rsidRPr="00A012CD">
              <w:rPr>
                <w:lang w:val="uk-UA"/>
              </w:rPr>
              <w:t xml:space="preserve">  розумінням сутності, особливостей формування та суспільного розвитку </w:t>
            </w:r>
            <w:r w:rsidR="00230E39" w:rsidRPr="00A012CD">
              <w:rPr>
                <w:lang w:val="uk-UA"/>
              </w:rPr>
              <w:t>меншин</w:t>
            </w:r>
            <w:r w:rsidRPr="00A012CD">
              <w:rPr>
                <w:lang w:val="uk-UA"/>
              </w:rPr>
              <w:t xml:space="preserve">. </w:t>
            </w:r>
          </w:p>
          <w:p w:rsidR="00B94F0E" w:rsidRPr="00A012CD" w:rsidRDefault="00B94F0E" w:rsidP="00230E39">
            <w:pPr>
              <w:ind w:firstLine="708"/>
              <w:jc w:val="both"/>
            </w:pPr>
            <w:proofErr w:type="spellStart"/>
            <w:r w:rsidRPr="00A012CD">
              <w:t>Держави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світу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мають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дуже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відмінну</w:t>
            </w:r>
            <w:proofErr w:type="spellEnd"/>
            <w:r w:rsidRPr="00A012CD">
              <w:t xml:space="preserve"> практику </w:t>
            </w:r>
            <w:proofErr w:type="spellStart"/>
            <w:r w:rsidRPr="00A012CD">
              <w:t>національної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формування</w:t>
            </w:r>
            <w:proofErr w:type="spellEnd"/>
            <w:r w:rsidRPr="00A012CD">
              <w:t xml:space="preserve"> </w:t>
            </w:r>
            <w:proofErr w:type="spellStart"/>
            <w:proofErr w:type="gramStart"/>
            <w:r w:rsidRPr="00A012CD">
              <w:t>цими</w:t>
            </w:r>
            <w:proofErr w:type="spellEnd"/>
            <w:r w:rsidRPr="00A012CD">
              <w:t xml:space="preserve">  </w:t>
            </w:r>
            <w:proofErr w:type="spellStart"/>
            <w:r w:rsidRPr="00A012CD">
              <w:t>чинниками</w:t>
            </w:r>
            <w:proofErr w:type="spellEnd"/>
            <w:proofErr w:type="gramEnd"/>
            <w:r w:rsidRPr="00A012CD">
              <w:t xml:space="preserve"> </w:t>
            </w:r>
            <w:proofErr w:type="spellStart"/>
            <w:r w:rsidRPr="00A012CD">
              <w:t>своєї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зовнішньої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. </w:t>
            </w:r>
            <w:proofErr w:type="spellStart"/>
            <w:r w:rsidRPr="00A012CD">
              <w:t>Він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включає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викладання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загальнотеоретичної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методологічної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частини</w:t>
            </w:r>
            <w:proofErr w:type="spellEnd"/>
            <w:r w:rsidRPr="00A012CD">
              <w:t xml:space="preserve">, </w:t>
            </w:r>
            <w:proofErr w:type="spellStart"/>
            <w:r w:rsidRPr="00A012CD">
              <w:t>конкретної</w:t>
            </w:r>
            <w:proofErr w:type="spellEnd"/>
            <w:r w:rsidRPr="00A012CD">
              <w:t xml:space="preserve"> практики </w:t>
            </w:r>
            <w:proofErr w:type="spellStart"/>
            <w:r w:rsidRPr="00A012CD">
              <w:t>врахування</w:t>
            </w:r>
            <w:proofErr w:type="spellEnd"/>
            <w:r w:rsidRPr="00A012CD">
              <w:t xml:space="preserve"> проблематики </w:t>
            </w:r>
            <w:proofErr w:type="spellStart"/>
            <w:r w:rsidRPr="00A012CD">
              <w:t>меншин</w:t>
            </w:r>
            <w:proofErr w:type="spellEnd"/>
            <w:r w:rsidRPr="00A012CD">
              <w:t xml:space="preserve"> у </w:t>
            </w:r>
            <w:proofErr w:type="spellStart"/>
            <w:r w:rsidRPr="00A012CD">
              <w:t>політиці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окремих</w:t>
            </w:r>
            <w:proofErr w:type="spellEnd"/>
            <w:r w:rsidRPr="00A012CD">
              <w:t xml:space="preserve"> держав </w:t>
            </w:r>
            <w:proofErr w:type="spellStart"/>
            <w:r w:rsidRPr="00A012CD">
              <w:t>світу</w:t>
            </w:r>
            <w:proofErr w:type="spellEnd"/>
            <w:r w:rsidRPr="00A012CD">
              <w:t xml:space="preserve"> та </w:t>
            </w:r>
            <w:proofErr w:type="spellStart"/>
            <w:r w:rsidRPr="00A012CD">
              <w:t>ширшого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розгляду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цього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питання</w:t>
            </w:r>
            <w:proofErr w:type="spellEnd"/>
            <w:r w:rsidRPr="00A012CD">
              <w:t xml:space="preserve"> на </w:t>
            </w:r>
            <w:proofErr w:type="spellStart"/>
            <w:r w:rsidRPr="00A012CD">
              <w:t>прикладі</w:t>
            </w:r>
            <w:proofErr w:type="spellEnd"/>
            <w:r w:rsidRPr="00A012CD">
              <w:t xml:space="preserve"> </w:t>
            </w:r>
            <w:r w:rsidR="00230E39" w:rsidRPr="00A012CD">
              <w:rPr>
                <w:lang w:val="uk-UA"/>
              </w:rPr>
              <w:t xml:space="preserve">публічної </w:t>
            </w:r>
            <w:proofErr w:type="spellStart"/>
            <w:r w:rsidRPr="00A012CD">
              <w:t>політики</w:t>
            </w:r>
            <w:proofErr w:type="spellEnd"/>
            <w:r w:rsidRPr="00A012CD">
              <w:t xml:space="preserve"> </w:t>
            </w:r>
            <w:proofErr w:type="spellStart"/>
            <w:r w:rsidRPr="00A012CD">
              <w:t>України</w:t>
            </w:r>
            <w:proofErr w:type="spellEnd"/>
            <w:r w:rsidRPr="00A012CD">
              <w:t>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51BC4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 xml:space="preserve">3. </w:t>
            </w:r>
            <w:r w:rsidRPr="00A012CD">
              <w:rPr>
                <w:b/>
              </w:rPr>
              <w:t xml:space="preserve">Мета </w:t>
            </w:r>
            <w:r w:rsidRPr="00A012CD">
              <w:rPr>
                <w:b/>
                <w:lang w:val="uk-UA"/>
              </w:rPr>
              <w:t xml:space="preserve">та цілі </w:t>
            </w:r>
            <w:r w:rsidRPr="00A012CD">
              <w:rPr>
                <w:b/>
              </w:rPr>
              <w:t>курсу</w:t>
            </w:r>
            <w:r w:rsidRPr="00A012CD">
              <w:rPr>
                <w:b/>
                <w:lang w:val="uk-UA"/>
              </w:rPr>
              <w:t xml:space="preserve"> </w:t>
            </w:r>
          </w:p>
        </w:tc>
      </w:tr>
      <w:tr w:rsidR="00B94F0E" w:rsidRPr="00C735C2" w:rsidTr="006325D4">
        <w:tc>
          <w:tcPr>
            <w:tcW w:w="9571" w:type="dxa"/>
            <w:gridSpan w:val="12"/>
          </w:tcPr>
          <w:p w:rsidR="00230E39" w:rsidRPr="00A012CD" w:rsidRDefault="00230E39" w:rsidP="00230E39">
            <w:pPr>
              <w:pStyle w:val="3"/>
              <w:rPr>
                <w:sz w:val="24"/>
                <w:szCs w:val="24"/>
                <w:lang w:val="uk-UA"/>
              </w:rPr>
            </w:pPr>
            <w:r w:rsidRPr="00A012CD">
              <w:rPr>
                <w:sz w:val="24"/>
                <w:szCs w:val="24"/>
                <w:lang w:val="uk-UA"/>
              </w:rPr>
              <w:t xml:space="preserve">студенти мають оволодіти фактичним матеріалом з політики щодо меншин України, навчитися аналізувати окремі факти, вільно висловлювати свої думки усно й на письмі, ознайомитися з рекомендованою обов’язковою та, по можливості, додатковою літературою, навчитися аргументовано і з пошаною до чужої думки вести дискусію з окремих проблем, виявити творчий підхід до розгляду окремих питань у рефератах, самостійних та іншого типу роботах. Крім того, студенти повинні оволодіти вмінням </w:t>
            </w:r>
            <w:r w:rsidRPr="00A012CD">
              <w:rPr>
                <w:sz w:val="24"/>
                <w:szCs w:val="24"/>
                <w:lang w:val="uk-UA"/>
              </w:rPr>
              <w:lastRenderedPageBreak/>
              <w:t xml:space="preserve">використовувати матеріал з історії меншин України при засвоєнні інших предметів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соціо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-гуманітарного циклу. Важливою складовою знань та вмінь студентів має стати оволодівання методикою критики джерел, тому що специфіка пошуку політологічних фактів з історії національних меншин полягає в тому, що існують певні проблеми з віднесенням окремих осіб до даної етнічної або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етно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-конфесійної меншини.  Знання, які вони отримують під час прослуховування спецкурсу, мають включати в себе хронологію з історії окремих етнічних меншин, у тому числі специфічну періодизацію, місце певної меншини у соціально-економічному, культурному, суспільно-політичному житті в Україні, персоналії, чинники формування </w:t>
            </w:r>
            <w:proofErr w:type="spellStart"/>
            <w:r w:rsidRPr="00A012CD">
              <w:rPr>
                <w:sz w:val="24"/>
                <w:szCs w:val="24"/>
                <w:lang w:val="uk-UA"/>
              </w:rPr>
              <w:t>поліетнічної</w:t>
            </w:r>
            <w:proofErr w:type="spellEnd"/>
            <w:r w:rsidRPr="00A012CD">
              <w:rPr>
                <w:sz w:val="24"/>
                <w:szCs w:val="24"/>
                <w:lang w:val="uk-UA"/>
              </w:rPr>
              <w:t xml:space="preserve"> структури населення України впродовж її історії, проблеми у стосунках між різними етнічними групами, їх взаємовпливи та культурне збагачення, роль окремих меншин в Україні у суспільно-політичних та культурних процесах відповідних національних держав.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У результаті вивчення даного курсу студент повинен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b/>
                <w:lang w:val="uk-UA"/>
              </w:rPr>
              <w:t>знати:</w:t>
            </w:r>
            <w:r w:rsidRPr="00A012CD">
              <w:rPr>
                <w:lang w:val="uk-UA"/>
              </w:rPr>
              <w:t xml:space="preserve"> мати уявлення щодо часу та регіонів розселення національних (етнічних) меншин в Україні, ролі їх в історії України, значення перебування на території Україні в їх загальній народній та державній історії, знати головний фактаж щодо переселення на територію України певного етносу, його соціально-економічного та культурного розвитку, діяльності окремих персоналій. </w:t>
            </w:r>
          </w:p>
          <w:p w:rsidR="00230E39" w:rsidRPr="00A012CD" w:rsidRDefault="00230E39" w:rsidP="00230E39">
            <w:pPr>
              <w:jc w:val="both"/>
              <w:rPr>
                <w:lang w:val="uk-UA"/>
              </w:rPr>
            </w:pPr>
            <w:r w:rsidRPr="00A012CD">
              <w:rPr>
                <w:b/>
                <w:lang w:val="uk-UA"/>
              </w:rPr>
              <w:t xml:space="preserve">вміти: </w:t>
            </w:r>
            <w:r w:rsidRPr="00A012CD">
              <w:rPr>
                <w:lang w:val="uk-UA"/>
              </w:rPr>
              <w:t>вільно володіти головним фактичним матеріалом, працювати зі статистичними матеріалами та літературою, вміти виділяти окремі періоди в історії певних національних груп, давати оцінку діяльності окремим персоналіям, а також робити оцінку міжетнічним взаємовпливам в історичному аспекті. Студенти мають чітко уявляти причини конфліктів, вміти виділити позитивний досвід міжнаціонального спілкування, розглядати етнічні групи з точки зору наявної в їх середовищі соціальної диференціації, враховувати внутрішні культурні відмінності.</w:t>
            </w:r>
          </w:p>
          <w:p w:rsidR="00B94F0E" w:rsidRPr="00A012CD" w:rsidRDefault="00B94F0E" w:rsidP="00395013">
            <w:pPr>
              <w:jc w:val="both"/>
              <w:rPr>
                <w:lang w:val="uk-UA"/>
              </w:rPr>
            </w:pP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4. Компетентності</w:t>
            </w:r>
          </w:p>
        </w:tc>
      </w:tr>
      <w:tr w:rsidR="00B94F0E" w:rsidRPr="00230E39" w:rsidTr="006325D4">
        <w:tc>
          <w:tcPr>
            <w:tcW w:w="9571" w:type="dxa"/>
            <w:gridSpan w:val="12"/>
          </w:tcPr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 xml:space="preserve">Інтегральна компетентність  </w:t>
            </w:r>
            <w:r w:rsidRPr="00A012CD">
              <w:rPr>
                <w:color w:val="auto"/>
                <w:sz w:val="28"/>
                <w:szCs w:val="28"/>
              </w:rPr>
              <w:t>Здатність розв’язувати складні спеціалізовані задачі та практичні проблеми у політичній сфері, що характеризуються комплексністю та невизначеністю умов, із застосовуванням теорій та методів політичної науки.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 xml:space="preserve">Загальні компетентності 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ЗК06.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ЗК07.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b/>
                <w:bCs/>
                <w:color w:val="auto"/>
                <w:sz w:val="28"/>
                <w:szCs w:val="28"/>
              </w:rPr>
              <w:t>Спеціальні (фахові, предметні) компетентності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СК01. Здатність використовувати категорійно-понятійний та аналітично-дослідницький апарат сучасної політичної науки.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СКОЗ. Здатність описувати, пояснювати й оцінювати політичні процеси та явища у різних історичних, соціальних, культурних та ідеологічних контекстах.</w:t>
            </w:r>
          </w:p>
          <w:p w:rsidR="00B94F0E" w:rsidRPr="00A012CD" w:rsidRDefault="00230E39" w:rsidP="00230E39">
            <w:pPr>
              <w:pStyle w:val="Default"/>
              <w:rPr>
                <w:b/>
                <w:color w:val="auto"/>
              </w:rPr>
            </w:pPr>
            <w:r w:rsidRPr="00A012CD">
              <w:rPr>
                <w:color w:val="auto"/>
                <w:sz w:val="28"/>
                <w:szCs w:val="28"/>
              </w:rPr>
              <w:lastRenderedPageBreak/>
              <w:t>СК06. Здатність аналізувати публічну політику на місцевому, національному, європейському та глобальному рівні.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1039A3">
            <w:pPr>
              <w:jc w:val="center"/>
              <w:rPr>
                <w:b/>
                <w:lang w:val="uk-UA"/>
              </w:rPr>
            </w:pPr>
            <w:r w:rsidRPr="00A012CD">
              <w:rPr>
                <w:b/>
                <w:lang w:val="uk-UA"/>
              </w:rPr>
              <w:lastRenderedPageBreak/>
              <w:t>5. Результати навчання</w:t>
            </w:r>
          </w:p>
        </w:tc>
      </w:tr>
      <w:tr w:rsidR="00B94F0E" w:rsidRPr="00230E39" w:rsidTr="006325D4">
        <w:tc>
          <w:tcPr>
            <w:tcW w:w="9571" w:type="dxa"/>
            <w:gridSpan w:val="12"/>
          </w:tcPr>
          <w:p w:rsidR="00B94F0E" w:rsidRPr="00A012CD" w:rsidRDefault="00230E39" w:rsidP="00230E39">
            <w:pPr>
              <w:jc w:val="both"/>
              <w:rPr>
                <w:sz w:val="28"/>
                <w:szCs w:val="28"/>
                <w:lang w:val="uk-UA"/>
              </w:rPr>
            </w:pPr>
            <w:r w:rsidRPr="00A012CD">
              <w:rPr>
                <w:sz w:val="28"/>
                <w:szCs w:val="28"/>
              </w:rPr>
              <w:t xml:space="preserve">РНОЗ. </w:t>
            </w:r>
            <w:proofErr w:type="spellStart"/>
            <w:r w:rsidRPr="00A012CD">
              <w:rPr>
                <w:sz w:val="28"/>
                <w:szCs w:val="28"/>
              </w:rPr>
              <w:t>Вміти</w:t>
            </w:r>
            <w:proofErr w:type="spellEnd"/>
            <w:r w:rsidRPr="00A012CD">
              <w:rPr>
                <w:sz w:val="28"/>
                <w:szCs w:val="28"/>
              </w:rPr>
              <w:t xml:space="preserve"> критично </w:t>
            </w:r>
            <w:proofErr w:type="spellStart"/>
            <w:r w:rsidRPr="00A012CD">
              <w:rPr>
                <w:sz w:val="28"/>
                <w:szCs w:val="28"/>
              </w:rPr>
              <w:t>мислити</w:t>
            </w:r>
            <w:proofErr w:type="spellEnd"/>
            <w:r w:rsidRPr="00A012CD">
              <w:rPr>
                <w:sz w:val="28"/>
                <w:szCs w:val="28"/>
              </w:rPr>
              <w:t xml:space="preserve"> у </w:t>
            </w:r>
            <w:proofErr w:type="spellStart"/>
            <w:r w:rsidRPr="00A012CD">
              <w:rPr>
                <w:sz w:val="28"/>
                <w:szCs w:val="28"/>
              </w:rPr>
              <w:t>сфері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професійної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діяльності</w:t>
            </w:r>
            <w:proofErr w:type="spellEnd"/>
            <w:r w:rsidRPr="00A012CD">
              <w:rPr>
                <w:sz w:val="28"/>
                <w:szCs w:val="28"/>
              </w:rPr>
              <w:t>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>РН06. Знати свої права та обов’язки як члена демократичного суспільства та використовувати їх у професійній діяльності.</w:t>
            </w:r>
          </w:p>
          <w:p w:rsidR="00230E39" w:rsidRPr="00A012CD" w:rsidRDefault="00230E39" w:rsidP="00230E39">
            <w:pPr>
              <w:pStyle w:val="Default"/>
              <w:rPr>
                <w:color w:val="auto"/>
                <w:sz w:val="28"/>
                <w:szCs w:val="28"/>
              </w:rPr>
            </w:pPr>
            <w:r w:rsidRPr="00A012CD">
              <w:rPr>
                <w:color w:val="auto"/>
                <w:sz w:val="28"/>
                <w:szCs w:val="28"/>
              </w:rPr>
              <w:t xml:space="preserve">РН07. Розуміти історію, закономірності та етапи розвитку предметної сфери </w:t>
            </w:r>
          </w:p>
          <w:p w:rsidR="00230E39" w:rsidRPr="00A012CD" w:rsidRDefault="00230E39" w:rsidP="00230E39">
            <w:pPr>
              <w:jc w:val="both"/>
              <w:rPr>
                <w:sz w:val="28"/>
                <w:szCs w:val="28"/>
                <w:lang w:val="uk-UA"/>
              </w:rPr>
            </w:pPr>
            <w:r w:rsidRPr="00A012CD">
              <w:rPr>
                <w:sz w:val="28"/>
                <w:szCs w:val="28"/>
                <w:lang w:val="uk-UA"/>
              </w:rPr>
              <w:t>політології, знати її цінності та досягнення.</w:t>
            </w:r>
          </w:p>
          <w:p w:rsidR="006325D4" w:rsidRPr="00A012CD" w:rsidRDefault="006325D4" w:rsidP="006325D4">
            <w:pPr>
              <w:jc w:val="both"/>
              <w:rPr>
                <w:lang w:val="uk-UA"/>
              </w:rPr>
            </w:pPr>
            <w:r w:rsidRPr="00A012CD">
              <w:rPr>
                <w:sz w:val="28"/>
                <w:szCs w:val="28"/>
              </w:rPr>
              <w:t xml:space="preserve">РН10. </w:t>
            </w:r>
            <w:proofErr w:type="spellStart"/>
            <w:r w:rsidRPr="00A012CD">
              <w:rPr>
                <w:sz w:val="28"/>
                <w:szCs w:val="28"/>
              </w:rPr>
              <w:t>Вміти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описувати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пояснювати</w:t>
            </w:r>
            <w:proofErr w:type="spellEnd"/>
            <w:r w:rsidRPr="00A012CD">
              <w:rPr>
                <w:sz w:val="28"/>
                <w:szCs w:val="28"/>
              </w:rPr>
              <w:t xml:space="preserve"> й </w:t>
            </w:r>
            <w:proofErr w:type="spellStart"/>
            <w:r w:rsidRPr="00A012CD">
              <w:rPr>
                <w:sz w:val="28"/>
                <w:szCs w:val="28"/>
              </w:rPr>
              <w:t>оцінювати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політичні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процеси</w:t>
            </w:r>
            <w:proofErr w:type="spellEnd"/>
            <w:r w:rsidRPr="00A012CD">
              <w:rPr>
                <w:sz w:val="28"/>
                <w:szCs w:val="28"/>
              </w:rPr>
              <w:t xml:space="preserve"> та </w:t>
            </w:r>
            <w:proofErr w:type="spellStart"/>
            <w:r w:rsidRPr="00A012CD">
              <w:rPr>
                <w:sz w:val="28"/>
                <w:szCs w:val="28"/>
              </w:rPr>
              <w:t>явища</w:t>
            </w:r>
            <w:proofErr w:type="spellEnd"/>
            <w:r w:rsidRPr="00A012CD">
              <w:rPr>
                <w:sz w:val="28"/>
                <w:szCs w:val="28"/>
              </w:rPr>
              <w:t xml:space="preserve"> у </w:t>
            </w:r>
            <w:proofErr w:type="spellStart"/>
            <w:r w:rsidRPr="00A012CD">
              <w:rPr>
                <w:sz w:val="28"/>
                <w:szCs w:val="28"/>
              </w:rPr>
              <w:t>різних</w:t>
            </w:r>
            <w:proofErr w:type="spellEnd"/>
            <w:r w:rsidRPr="00A012CD">
              <w:rPr>
                <w:sz w:val="28"/>
                <w:szCs w:val="28"/>
              </w:rPr>
              <w:t xml:space="preserve"> </w:t>
            </w:r>
            <w:proofErr w:type="spellStart"/>
            <w:r w:rsidRPr="00A012CD">
              <w:rPr>
                <w:sz w:val="28"/>
                <w:szCs w:val="28"/>
              </w:rPr>
              <w:t>історичних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соціальних</w:t>
            </w:r>
            <w:proofErr w:type="spellEnd"/>
            <w:r w:rsidRPr="00A012CD">
              <w:rPr>
                <w:sz w:val="28"/>
                <w:szCs w:val="28"/>
              </w:rPr>
              <w:t xml:space="preserve">, </w:t>
            </w:r>
            <w:proofErr w:type="spellStart"/>
            <w:r w:rsidRPr="00A012CD">
              <w:rPr>
                <w:sz w:val="28"/>
                <w:szCs w:val="28"/>
              </w:rPr>
              <w:t>культурних</w:t>
            </w:r>
            <w:proofErr w:type="spellEnd"/>
            <w:r w:rsidRPr="00A012CD">
              <w:rPr>
                <w:sz w:val="28"/>
                <w:szCs w:val="28"/>
              </w:rPr>
              <w:t xml:space="preserve"> та </w:t>
            </w:r>
            <w:proofErr w:type="spellStart"/>
            <w:r w:rsidRPr="00A012CD">
              <w:rPr>
                <w:sz w:val="28"/>
                <w:szCs w:val="28"/>
              </w:rPr>
              <w:t>ідеологічних</w:t>
            </w:r>
            <w:proofErr w:type="spellEnd"/>
            <w:r w:rsidRPr="00A012CD">
              <w:rPr>
                <w:sz w:val="28"/>
                <w:szCs w:val="28"/>
              </w:rPr>
              <w:t xml:space="preserve"> контекстах.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b/>
                <w:lang w:val="uk-UA"/>
              </w:rPr>
              <w:t>6. Організація навчання курсу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proofErr w:type="spellStart"/>
            <w:r w:rsidRPr="00A012CD">
              <w:t>Обсяг</w:t>
            </w:r>
            <w:proofErr w:type="spellEnd"/>
            <w:r w:rsidRPr="00A012CD">
              <w:t xml:space="preserve"> курсу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C67355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Вид заняття</w:t>
            </w:r>
          </w:p>
        </w:tc>
        <w:tc>
          <w:tcPr>
            <w:tcW w:w="5740" w:type="dxa"/>
            <w:gridSpan w:val="5"/>
          </w:tcPr>
          <w:p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Загальна кількість годин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16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14</w:t>
            </w:r>
          </w:p>
        </w:tc>
      </w:tr>
      <w:tr w:rsidR="00B94F0E" w:rsidRPr="00C67355" w:rsidTr="006325D4">
        <w:tc>
          <w:tcPr>
            <w:tcW w:w="3831" w:type="dxa"/>
            <w:gridSpan w:val="7"/>
          </w:tcPr>
          <w:p w:rsidR="00B94F0E" w:rsidRPr="00A012CD" w:rsidRDefault="00B94F0E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740" w:type="dxa"/>
            <w:gridSpan w:val="5"/>
          </w:tcPr>
          <w:p w:rsidR="00B94F0E" w:rsidRPr="00A012CD" w:rsidRDefault="006325D4" w:rsidP="00395013">
            <w:pPr>
              <w:jc w:val="both"/>
              <w:rPr>
                <w:lang w:val="uk-UA"/>
              </w:rPr>
            </w:pPr>
            <w:r w:rsidRPr="00A012CD">
              <w:rPr>
                <w:lang w:val="uk-UA"/>
              </w:rPr>
              <w:t>60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0C46E3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Ознаки курсу</w:t>
            </w:r>
          </w:p>
        </w:tc>
      </w:tr>
      <w:tr w:rsidR="00B94F0E" w:rsidRPr="00C67355" w:rsidTr="006325D4">
        <w:tc>
          <w:tcPr>
            <w:tcW w:w="1452" w:type="dxa"/>
            <w:gridSpan w:val="2"/>
            <w:vAlign w:val="center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635" w:type="dxa"/>
            <w:gridSpan w:val="4"/>
            <w:vAlign w:val="center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100" w:type="dxa"/>
            <w:gridSpan w:val="2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384" w:type="dxa"/>
            <w:gridSpan w:val="4"/>
          </w:tcPr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Нормативний </w:t>
            </w: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94F0E" w:rsidRPr="00A012CD" w:rsidRDefault="00B94F0E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2CD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94F0E" w:rsidRPr="00C67355" w:rsidTr="006325D4">
        <w:tc>
          <w:tcPr>
            <w:tcW w:w="1452" w:type="dxa"/>
            <w:gridSpan w:val="2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5</w:t>
            </w:r>
          </w:p>
        </w:tc>
        <w:tc>
          <w:tcPr>
            <w:tcW w:w="1635" w:type="dxa"/>
            <w:gridSpan w:val="4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052 Політологія</w:t>
            </w:r>
          </w:p>
        </w:tc>
        <w:tc>
          <w:tcPr>
            <w:tcW w:w="2100" w:type="dxa"/>
            <w:gridSpan w:val="2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3</w:t>
            </w:r>
          </w:p>
        </w:tc>
        <w:tc>
          <w:tcPr>
            <w:tcW w:w="4384" w:type="dxa"/>
            <w:gridSpan w:val="4"/>
          </w:tcPr>
          <w:p w:rsidR="00B94F0E" w:rsidRPr="00A012CD" w:rsidRDefault="006325D4" w:rsidP="006325D4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Вибірковий</w:t>
            </w:r>
          </w:p>
        </w:tc>
      </w:tr>
      <w:tr w:rsidR="00B94F0E" w:rsidRPr="00C67355" w:rsidTr="006325D4">
        <w:tc>
          <w:tcPr>
            <w:tcW w:w="9571" w:type="dxa"/>
            <w:gridSpan w:val="12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Тематика</w:t>
            </w:r>
            <w:r w:rsidRPr="00A012CD">
              <w:t xml:space="preserve"> курс</w:t>
            </w:r>
            <w:r w:rsidRPr="00A012CD">
              <w:rPr>
                <w:lang w:val="uk-UA"/>
              </w:rPr>
              <w:t>у</w:t>
            </w:r>
          </w:p>
        </w:tc>
      </w:tr>
      <w:tr w:rsidR="006325D4" w:rsidRPr="00C67355" w:rsidTr="006325D4">
        <w:tc>
          <w:tcPr>
            <w:tcW w:w="942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t>Тема, план</w:t>
            </w:r>
          </w:p>
        </w:tc>
        <w:tc>
          <w:tcPr>
            <w:tcW w:w="1151" w:type="dxa"/>
            <w:gridSpan w:val="4"/>
          </w:tcPr>
          <w:p w:rsidR="00B94F0E" w:rsidRPr="00A012CD" w:rsidRDefault="00B94F0E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 w:rsidRPr="00A012CD">
              <w:rPr>
                <w:rStyle w:val="a7"/>
                <w:i w:val="0"/>
                <w:color w:val="auto"/>
              </w:rPr>
              <w:t>Форма</w:t>
            </w:r>
            <w:r w:rsidRPr="00A012CD">
              <w:rPr>
                <w:rStyle w:val="a7"/>
                <w:i w:val="0"/>
                <w:color w:val="auto"/>
                <w:lang w:val="uk-UA"/>
              </w:rPr>
              <w:t xml:space="preserve"> заняття</w:t>
            </w:r>
          </w:p>
        </w:tc>
        <w:tc>
          <w:tcPr>
            <w:tcW w:w="3402" w:type="dxa"/>
            <w:gridSpan w:val="4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Література</w:t>
            </w:r>
          </w:p>
        </w:tc>
        <w:tc>
          <w:tcPr>
            <w:tcW w:w="1417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Завдання, год</w:t>
            </w:r>
          </w:p>
        </w:tc>
        <w:tc>
          <w:tcPr>
            <w:tcW w:w="1134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Вага оцінки</w:t>
            </w:r>
          </w:p>
        </w:tc>
        <w:tc>
          <w:tcPr>
            <w:tcW w:w="1525" w:type="dxa"/>
          </w:tcPr>
          <w:p w:rsidR="00B94F0E" w:rsidRPr="00A012CD" w:rsidRDefault="00B94F0E" w:rsidP="00AC76DC">
            <w:pPr>
              <w:jc w:val="center"/>
              <w:rPr>
                <w:lang w:val="uk-UA"/>
              </w:rPr>
            </w:pPr>
            <w:r w:rsidRPr="00A012CD">
              <w:rPr>
                <w:lang w:val="uk-UA"/>
              </w:rPr>
              <w:t>Термін виконання</w:t>
            </w:r>
          </w:p>
        </w:tc>
      </w:tr>
      <w:tr w:rsidR="006325D4" w:rsidRPr="00C67355" w:rsidTr="006325D4">
        <w:tc>
          <w:tcPr>
            <w:tcW w:w="942" w:type="dxa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Вступ до вивчення курсу</w:t>
            </w:r>
          </w:p>
        </w:tc>
        <w:tc>
          <w:tcPr>
            <w:tcW w:w="1151" w:type="dxa"/>
            <w:gridSpan w:val="4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B94F0E" w:rsidRPr="00A012CD" w:rsidRDefault="00B94F0E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B94F0E" w:rsidRPr="00A012CD" w:rsidRDefault="00B94F0E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B94F0E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B94F0E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Вересень 2020</w:t>
            </w:r>
          </w:p>
        </w:tc>
      </w:tr>
      <w:tr w:rsidR="006325D4" w:rsidRPr="00C67355" w:rsidTr="006325D4">
        <w:tc>
          <w:tcPr>
            <w:tcW w:w="942" w:type="dxa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Теоретичні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засади та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дослідницький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інструментарій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вивчення</w:t>
            </w:r>
            <w:proofErr w:type="spellEnd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rStyle w:val="ae"/>
                <w:rFonts w:ascii="Times New Roman" w:hAnsi="Times New Roman" w:cs="Times New Roman"/>
                <w:color w:val="auto"/>
                <w:sz w:val="16"/>
                <w:szCs w:val="16"/>
              </w:rPr>
              <w:t>менши</w:t>
            </w:r>
            <w:r w:rsidRPr="00A012CD">
              <w:rPr>
                <w:sz w:val="16"/>
                <w:szCs w:val="16"/>
                <w:shd w:val="clear" w:color="auto" w:fill="E7EAEF"/>
              </w:rPr>
              <w:t>н</w:t>
            </w:r>
            <w:proofErr w:type="spellEnd"/>
          </w:p>
        </w:tc>
        <w:tc>
          <w:tcPr>
            <w:tcW w:w="1151" w:type="dxa"/>
            <w:gridSpan w:val="4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rStyle w:val="aa"/>
                <w:sz w:val="16"/>
                <w:szCs w:val="16"/>
              </w:rPr>
              <w:t>Євтух</w:t>
            </w:r>
            <w:proofErr w:type="spellEnd"/>
            <w:r w:rsidRPr="00A012CD">
              <w:rPr>
                <w:rStyle w:val="aa"/>
                <w:sz w:val="16"/>
                <w:szCs w:val="16"/>
              </w:rPr>
              <w:t xml:space="preserve"> В. Б</w:t>
            </w:r>
            <w:r w:rsidRPr="00A012CD">
              <w:rPr>
                <w:sz w:val="16"/>
                <w:szCs w:val="16"/>
              </w:rPr>
              <w:t xml:space="preserve">., Трощинський В. П., Галушко К. Ю. </w:t>
            </w:r>
            <w:proofErr w:type="spellStart"/>
            <w:r w:rsidRPr="00A012CD">
              <w:rPr>
                <w:sz w:val="16"/>
                <w:szCs w:val="16"/>
              </w:rPr>
              <w:t>Етносоціологія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терміни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поняття</w:t>
            </w:r>
            <w:proofErr w:type="spellEnd"/>
            <w:r w:rsidRPr="00A012CD">
              <w:rPr>
                <w:sz w:val="16"/>
                <w:szCs w:val="16"/>
              </w:rPr>
              <w:t xml:space="preserve">. </w:t>
            </w:r>
            <w:proofErr w:type="spellStart"/>
            <w:r w:rsidRPr="00A012CD">
              <w:rPr>
                <w:sz w:val="16"/>
                <w:szCs w:val="16"/>
              </w:rPr>
              <w:t>Навч</w:t>
            </w:r>
            <w:proofErr w:type="spellEnd"/>
            <w:r w:rsidRPr="00A012CD">
              <w:rPr>
                <w:sz w:val="16"/>
                <w:szCs w:val="16"/>
              </w:rPr>
              <w:t>. посібник. – К.: «Фенікс», 2003. – С. 31–77. (Електронний ресурс: </w:t>
            </w:r>
            <w:hyperlink r:id="rId7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http://194.44.152.155/elib/local/r327.pdf</w:t>
              </w:r>
            </w:hyperlink>
            <w:r w:rsidRPr="00A012CD">
              <w:rPr>
                <w:sz w:val="16"/>
                <w:szCs w:val="16"/>
              </w:rPr>
              <w:t>)2.              </w:t>
            </w:r>
            <w:r w:rsidRPr="00A012CD">
              <w:rPr>
                <w:rStyle w:val="aa"/>
                <w:sz w:val="16"/>
                <w:szCs w:val="16"/>
              </w:rPr>
              <w:t>Ендшьо Даґ.</w:t>
            </w:r>
            <w:r w:rsidRPr="00A012CD">
              <w:rPr>
                <w:sz w:val="16"/>
                <w:szCs w:val="16"/>
              </w:rPr>
              <w:t xml:space="preserve"> Секс та релігія. Від балу </w:t>
            </w:r>
            <w:proofErr w:type="spellStart"/>
            <w:r w:rsidRPr="00A012CD">
              <w:rPr>
                <w:sz w:val="16"/>
                <w:szCs w:val="16"/>
              </w:rPr>
              <w:t>цноти</w:t>
            </w:r>
            <w:proofErr w:type="spellEnd"/>
            <w:r w:rsidRPr="00A012CD">
              <w:rPr>
                <w:sz w:val="16"/>
                <w:szCs w:val="16"/>
              </w:rPr>
              <w:t xml:space="preserve"> до </w:t>
            </w:r>
            <w:proofErr w:type="spellStart"/>
            <w:r w:rsidRPr="00A012CD">
              <w:rPr>
                <w:sz w:val="16"/>
                <w:szCs w:val="16"/>
              </w:rPr>
              <w:t>благословенної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гомосексуальності</w:t>
            </w:r>
            <w:proofErr w:type="spellEnd"/>
            <w:r w:rsidRPr="00A012CD">
              <w:rPr>
                <w:sz w:val="16"/>
                <w:szCs w:val="16"/>
              </w:rPr>
              <w:t xml:space="preserve">. – </w:t>
            </w:r>
            <w:proofErr w:type="spellStart"/>
            <w:r w:rsidRPr="00A012CD">
              <w:rPr>
                <w:sz w:val="16"/>
                <w:szCs w:val="16"/>
              </w:rPr>
              <w:t>Львів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Видавництво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Анетти</w:t>
            </w:r>
            <w:proofErr w:type="spellEnd"/>
            <w:r w:rsidRPr="00A012CD">
              <w:rPr>
                <w:sz w:val="16"/>
                <w:szCs w:val="16"/>
              </w:rPr>
              <w:t xml:space="preserve"> Антоненко; </w:t>
            </w:r>
            <w:proofErr w:type="spellStart"/>
            <w:r w:rsidRPr="00A012CD">
              <w:rPr>
                <w:sz w:val="16"/>
                <w:szCs w:val="16"/>
              </w:rPr>
              <w:t>Київ</w:t>
            </w:r>
            <w:proofErr w:type="spellEnd"/>
            <w:r w:rsidRPr="00A012CD">
              <w:rPr>
                <w:sz w:val="16"/>
                <w:szCs w:val="16"/>
              </w:rPr>
              <w:t xml:space="preserve"> : Ніка-Центр, 2017. – С. 15–26. (Електронний ресурс: </w:t>
            </w:r>
            <w:hyperlink r:id="rId8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https://img.yakaboo.ua/media/mediagallery/pdf/1/1/111_638.pdf</w:t>
              </w:r>
            </w:hyperlink>
            <w:r w:rsidRPr="00A012CD">
              <w:rPr>
                <w:sz w:val="16"/>
                <w:szCs w:val="16"/>
              </w:rPr>
              <w:t> ) 3.      </w:t>
            </w:r>
            <w:r w:rsidRPr="00A012CD">
              <w:rPr>
                <w:rStyle w:val="aa"/>
                <w:sz w:val="16"/>
                <w:szCs w:val="16"/>
              </w:rPr>
              <w:t>Монолатій Іван</w:t>
            </w:r>
            <w:r w:rsidRPr="00A012CD">
              <w:rPr>
                <w:sz w:val="16"/>
                <w:szCs w:val="16"/>
              </w:rPr>
              <w:t xml:space="preserve">. Інші свої. Політична участь </w:t>
            </w:r>
            <w:proofErr w:type="spellStart"/>
            <w:r w:rsidRPr="00A012CD">
              <w:rPr>
                <w:sz w:val="16"/>
                <w:szCs w:val="16"/>
              </w:rPr>
              <w:t>етнічних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акторів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пізньогабсбурзьких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Галичини</w:t>
            </w:r>
            <w:proofErr w:type="spellEnd"/>
            <w:r w:rsidRPr="00A012CD">
              <w:rPr>
                <w:sz w:val="16"/>
                <w:szCs w:val="16"/>
              </w:rPr>
              <w:t xml:space="preserve"> і </w:t>
            </w:r>
            <w:proofErr w:type="spellStart"/>
            <w:r w:rsidRPr="00A012CD">
              <w:rPr>
                <w:sz w:val="16"/>
                <w:szCs w:val="16"/>
              </w:rPr>
              <w:t>Буковини</w:t>
            </w:r>
            <w:proofErr w:type="spellEnd"/>
            <w:r w:rsidRPr="00A012CD">
              <w:rPr>
                <w:sz w:val="16"/>
                <w:szCs w:val="16"/>
              </w:rPr>
              <w:t xml:space="preserve">. – </w:t>
            </w:r>
            <w:proofErr w:type="spellStart"/>
            <w:r w:rsidRPr="00A012CD">
              <w:rPr>
                <w:sz w:val="16"/>
                <w:szCs w:val="16"/>
              </w:rPr>
              <w:t>Івано-Франківськ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Лілея</w:t>
            </w:r>
            <w:proofErr w:type="spellEnd"/>
            <w:r w:rsidRPr="00A012CD">
              <w:rPr>
                <w:sz w:val="16"/>
                <w:szCs w:val="16"/>
              </w:rPr>
              <w:t>-НВ, 2012. – С. 31–58. (</w:t>
            </w:r>
            <w:proofErr w:type="spellStart"/>
            <w:r w:rsidRPr="00A012CD">
              <w:rPr>
                <w:sz w:val="16"/>
                <w:szCs w:val="16"/>
              </w:rPr>
              <w:t>Електронний</w:t>
            </w:r>
            <w:proofErr w:type="spellEnd"/>
            <w:r w:rsidRPr="00A012CD">
              <w:rPr>
                <w:sz w:val="16"/>
                <w:szCs w:val="16"/>
              </w:rPr>
              <w:t xml:space="preserve"> ресурс: </w:t>
            </w:r>
            <w:hyperlink r:id="rId9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http://elib.nplu.org/object.html?id=9266</w:t>
              </w:r>
            </w:hyperlink>
            <w:r w:rsidRPr="00A012CD">
              <w:rPr>
                <w:sz w:val="16"/>
                <w:szCs w:val="16"/>
              </w:rPr>
              <w:t>)4.      </w:t>
            </w:r>
            <w:r w:rsidRPr="00A012CD">
              <w:rPr>
                <w:rStyle w:val="aa"/>
                <w:sz w:val="16"/>
                <w:szCs w:val="16"/>
              </w:rPr>
              <w:t>Монолатій Іван</w:t>
            </w:r>
            <w:r w:rsidRPr="00A012CD">
              <w:rPr>
                <w:sz w:val="16"/>
                <w:szCs w:val="16"/>
              </w:rPr>
              <w:t xml:space="preserve">. Разом, але майже окремо. </w:t>
            </w:r>
            <w:proofErr w:type="spellStart"/>
            <w:r w:rsidRPr="00A012CD">
              <w:rPr>
                <w:sz w:val="16"/>
                <w:szCs w:val="16"/>
              </w:rPr>
              <w:t>Взаємодія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етнополітичних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акторів</w:t>
            </w:r>
            <w:proofErr w:type="spellEnd"/>
            <w:r w:rsidRPr="00A012CD">
              <w:rPr>
                <w:sz w:val="16"/>
                <w:szCs w:val="16"/>
              </w:rPr>
              <w:t xml:space="preserve"> на </w:t>
            </w:r>
            <w:proofErr w:type="spellStart"/>
            <w:r w:rsidRPr="00A012CD">
              <w:rPr>
                <w:sz w:val="16"/>
                <w:szCs w:val="16"/>
              </w:rPr>
              <w:t>західноукраїнських</w:t>
            </w:r>
            <w:proofErr w:type="spellEnd"/>
            <w:r w:rsidRPr="00A012CD">
              <w:rPr>
                <w:sz w:val="16"/>
                <w:szCs w:val="16"/>
              </w:rPr>
              <w:t xml:space="preserve"> землях у 1867–1914 рр. – </w:t>
            </w:r>
            <w:proofErr w:type="spellStart"/>
            <w:r w:rsidRPr="00A012CD">
              <w:rPr>
                <w:sz w:val="16"/>
                <w:szCs w:val="16"/>
              </w:rPr>
              <w:t>Івано-Франківськ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Лілея</w:t>
            </w:r>
            <w:proofErr w:type="spellEnd"/>
            <w:r w:rsidRPr="00A012CD">
              <w:rPr>
                <w:sz w:val="16"/>
                <w:szCs w:val="16"/>
              </w:rPr>
              <w:t>-НВ, 2010. – С. 78–109. (</w:t>
            </w:r>
            <w:proofErr w:type="spellStart"/>
            <w:r w:rsidRPr="00A012CD">
              <w:rPr>
                <w:sz w:val="16"/>
                <w:szCs w:val="16"/>
              </w:rPr>
              <w:t>Електронний</w:t>
            </w:r>
            <w:proofErr w:type="spellEnd"/>
            <w:r w:rsidRPr="00A012CD">
              <w:rPr>
                <w:sz w:val="16"/>
                <w:szCs w:val="16"/>
              </w:rPr>
              <w:t xml:space="preserve"> ресурс: </w:t>
            </w:r>
            <w:hyperlink r:id="rId10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http://elib.nplu.org/object.html?id=9267</w:t>
              </w:r>
            </w:hyperlink>
            <w:r w:rsidRPr="00A012CD">
              <w:rPr>
                <w:sz w:val="16"/>
                <w:szCs w:val="16"/>
              </w:rPr>
              <w:t>)5.              </w:t>
            </w:r>
            <w:r w:rsidRPr="00A012CD">
              <w:rPr>
                <w:rStyle w:val="aa"/>
                <w:sz w:val="16"/>
                <w:szCs w:val="16"/>
              </w:rPr>
              <w:t>Сміт Ентоні</w:t>
            </w:r>
            <w:r w:rsidRPr="00A012CD">
              <w:rPr>
                <w:sz w:val="16"/>
                <w:szCs w:val="16"/>
              </w:rPr>
              <w:t>. Нації та націоналізм у глобальну епоху. – К.: Ніка-Центр, 2006. – С. 49–56. (</w:t>
            </w:r>
            <w:proofErr w:type="spellStart"/>
            <w:r w:rsidRPr="00A012CD">
              <w:rPr>
                <w:sz w:val="16"/>
                <w:szCs w:val="16"/>
              </w:rPr>
              <w:t>Електронний</w:t>
            </w:r>
            <w:proofErr w:type="spellEnd"/>
            <w:r w:rsidRPr="00A012CD">
              <w:rPr>
                <w:sz w:val="16"/>
                <w:szCs w:val="16"/>
              </w:rPr>
              <w:t xml:space="preserve"> ресурс: </w:t>
            </w:r>
            <w:hyperlink r:id="rId11" w:history="1">
              <w:r w:rsidRPr="00A012CD">
                <w:rPr>
                  <w:rStyle w:val="a8"/>
                  <w:color w:val="auto"/>
                  <w:sz w:val="16"/>
                  <w:szCs w:val="16"/>
                </w:rPr>
                <w:t>http://litopys.org.ua/smith/smg.htm</w:t>
              </w:r>
            </w:hyperlink>
            <w:r w:rsidRPr="00A012CD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3636F1">
              <w:rPr>
                <w:sz w:val="16"/>
                <w:szCs w:val="16"/>
                <w:lang w:val="uk-UA"/>
              </w:rPr>
              <w:t>1.</w:t>
            </w:r>
            <w:r w:rsidRPr="00A012CD">
              <w:rPr>
                <w:sz w:val="16"/>
                <w:szCs w:val="16"/>
              </w:rPr>
              <w:t>     </w:t>
            </w:r>
            <w:r w:rsidRPr="003636F1">
              <w:rPr>
                <w:sz w:val="16"/>
                <w:szCs w:val="16"/>
                <w:lang w:val="uk-UA"/>
              </w:rPr>
              <w:t xml:space="preserve"> Етнос та його існування: основні поняття (етнос, субетнос,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етнікос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ареал етнічний, батьківщина етнічна, спільнота етнічна, група етнічна, група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етнолінгвістична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група етнографічна, група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етноконфесійна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>, анклав етнічний, нація, народ, народи корінні).2.</w:t>
            </w:r>
            <w:r w:rsidRPr="00A012CD">
              <w:rPr>
                <w:sz w:val="16"/>
                <w:szCs w:val="16"/>
              </w:rPr>
              <w:t>     </w:t>
            </w:r>
            <w:r w:rsidRPr="003636F1">
              <w:rPr>
                <w:sz w:val="16"/>
                <w:szCs w:val="16"/>
                <w:lang w:val="uk-UA"/>
              </w:rPr>
              <w:t xml:space="preserve"> Різноманітність характеристик феномена меншин і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псевдоменшин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 (Девід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Янґ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Люїс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Вірт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Г. Ван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Амерсфорт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Франческо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Капоторті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Отто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lastRenderedPageBreak/>
              <w:t>Клайнберґ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Володимир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Євтух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>).3.</w:t>
            </w:r>
            <w:r w:rsidRPr="00A012CD">
              <w:rPr>
                <w:sz w:val="16"/>
                <w:szCs w:val="16"/>
              </w:rPr>
              <w:t>     </w:t>
            </w:r>
            <w:r w:rsidRPr="003636F1">
              <w:rPr>
                <w:sz w:val="16"/>
                <w:szCs w:val="16"/>
                <w:lang w:val="uk-UA"/>
              </w:rPr>
              <w:t xml:space="preserve"> Етнічні (національні) меншини: інтерпретація типів (Ґеорґ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Бруннер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Мауро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Перессіні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Фрідріх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Ґекманн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 xml:space="preserve">, Володимир </w:t>
            </w:r>
            <w:proofErr w:type="spellStart"/>
            <w:r w:rsidRPr="003636F1">
              <w:rPr>
                <w:sz w:val="16"/>
                <w:szCs w:val="16"/>
                <w:lang w:val="uk-UA"/>
              </w:rPr>
              <w:t>Євтух</w:t>
            </w:r>
            <w:proofErr w:type="spellEnd"/>
            <w:r w:rsidRPr="003636F1">
              <w:rPr>
                <w:sz w:val="16"/>
                <w:szCs w:val="16"/>
                <w:lang w:val="uk-UA"/>
              </w:rPr>
              <w:t>).4.</w:t>
            </w:r>
            <w:r w:rsidRPr="00A012CD">
              <w:rPr>
                <w:sz w:val="16"/>
                <w:szCs w:val="16"/>
              </w:rPr>
              <w:t>     </w:t>
            </w:r>
            <w:r w:rsidRPr="003636F1">
              <w:rPr>
                <w:sz w:val="16"/>
                <w:szCs w:val="16"/>
                <w:lang w:val="uk-UA"/>
              </w:rPr>
              <w:t xml:space="preserve"> </w:t>
            </w:r>
            <w:r w:rsidRPr="00A012CD">
              <w:rPr>
                <w:sz w:val="16"/>
                <w:szCs w:val="16"/>
              </w:rPr>
              <w:t>Сексуальні меншини: поняття, концепція прав, сучасне трактування в традиційних суспільствах.</w:t>
            </w:r>
          </w:p>
        </w:tc>
        <w:tc>
          <w:tcPr>
            <w:tcW w:w="1134" w:type="dxa"/>
          </w:tcPr>
          <w:p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Вересень 2020</w:t>
            </w:r>
          </w:p>
        </w:tc>
      </w:tr>
      <w:tr w:rsidR="006325D4" w:rsidRPr="006325D4" w:rsidTr="006325D4">
        <w:tc>
          <w:tcPr>
            <w:tcW w:w="942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lastRenderedPageBreak/>
              <w:t>Європейське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та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українське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національне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законодавство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про права та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обов’язки</w:t>
            </w:r>
            <w:proofErr w:type="spellEnd"/>
            <w:r w:rsidRPr="00A012CD">
              <w:rPr>
                <w:bCs/>
                <w:sz w:val="16"/>
                <w:szCs w:val="16"/>
                <w:shd w:val="clear" w:color="auto" w:fill="E7EAEF"/>
              </w:rPr>
              <w:t xml:space="preserve"> </w:t>
            </w:r>
            <w:proofErr w:type="spellStart"/>
            <w:r w:rsidRPr="00A012CD">
              <w:rPr>
                <w:bCs/>
                <w:sz w:val="16"/>
                <w:szCs w:val="16"/>
                <w:shd w:val="clear" w:color="auto" w:fill="E7EAEF"/>
              </w:rPr>
              <w:t>меншмн</w:t>
            </w:r>
            <w:proofErr w:type="spellEnd"/>
          </w:p>
        </w:tc>
        <w:tc>
          <w:tcPr>
            <w:tcW w:w="1151" w:type="dxa"/>
            <w:gridSpan w:val="4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Декларація про державний суверенітет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http://zakon.rada.gov.ua/laws/show/55-12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Конституція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http://zakon.rada.gov.ua/laws/show/254%D0%BA/96-%D0%B2%D1%80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Декларація прав національностей України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http://zakon.rada.gov.ua/laws/show/1771-12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Закон України «Про національні меншини в Україні»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http://zakon.rada.gov.ua/laws/show/2494-12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Рамкова конвенція про захист національних меншин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http://zakon.rada.gov.ua/laws/show/995_055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1. Європейські стандарти щодо поняття і статусних характеристик прав меншин.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2. Національне законодавство України про меншини: витоки, джерела, проблеми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дотримання законів.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3. Національні меншини України: гарантії їх прав, проблеми вдосконалення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законодавства.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 w:eastAsia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4. Права мовних, релігійних і сексуальних меншин в Україні: правовий аспект та</w:t>
            </w:r>
          </w:p>
          <w:p w:rsidR="006325D4" w:rsidRPr="00A012CD" w:rsidRDefault="006325D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>співвідношення з міжнародними стандартами.</w:t>
            </w:r>
          </w:p>
        </w:tc>
        <w:tc>
          <w:tcPr>
            <w:tcW w:w="1134" w:type="dxa"/>
          </w:tcPr>
          <w:p w:rsidR="006325D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6325D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Жовтень 2020</w:t>
            </w:r>
          </w:p>
        </w:tc>
      </w:tr>
      <w:tr w:rsidR="00286614" w:rsidRPr="006325D4" w:rsidTr="00286614">
        <w:tc>
          <w:tcPr>
            <w:tcW w:w="942" w:type="dxa"/>
            <w:shd w:val="clear" w:color="auto" w:fill="auto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 xml:space="preserve">Національні меншини України як суб’єкти </w:t>
            </w:r>
            <w:proofErr w:type="spellStart"/>
            <w:r w:rsidRPr="00A012CD">
              <w:rPr>
                <w:sz w:val="16"/>
                <w:szCs w:val="16"/>
                <w:lang w:val="uk-UA" w:eastAsia="uk-UA"/>
              </w:rPr>
              <w:t>етнополітичних</w:t>
            </w:r>
            <w:proofErr w:type="spellEnd"/>
            <w:r w:rsidRPr="00A012CD">
              <w:rPr>
                <w:sz w:val="16"/>
                <w:szCs w:val="16"/>
                <w:lang w:val="uk-UA" w:eastAsia="uk-UA"/>
              </w:rPr>
              <w:t xml:space="preserve"> взаємин: історична ретроспектива</w:t>
            </w:r>
          </w:p>
        </w:tc>
        <w:tc>
          <w:tcPr>
            <w:tcW w:w="1151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Міронова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І.С. Національні меншини України: Навчально-методичний посібник.-Миколаїв, 2006.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Рафальський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О.О. Національні меншини України у ХХ ст.: Історіографічний нарис.-К., 2000.  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Магочій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П.-Р. Історія України.-К.: Критика, 2007.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Колісник В.П. Поняття і зміст національно-культурної автономії // Проблеми законності.-2003.-Вип. 60.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Попик В.І.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Поліетнічні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аспекти історії України // Історична наука на порозі ХХІ ст.- Харків, 1995.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Симоненко Р.Г. До концепції багатотомної “Історії українського народу” (міжнаціональний та міжнародний аспекти)/ АНУ. Ін-т історії України.-К., 1993.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>Бойко Я.В. Заселение Южной Украины, 1860-1890 (историко-экономическое исследование</w:t>
            </w:r>
            <w:proofErr w:type="gramStart"/>
            <w:r w:rsidRPr="00A012CD">
              <w:rPr>
                <w:sz w:val="16"/>
                <w:szCs w:val="16"/>
              </w:rPr>
              <w:t>).-</w:t>
            </w:r>
            <w:proofErr w:type="gramEnd"/>
            <w:r w:rsidRPr="00A012CD">
              <w:rPr>
                <w:sz w:val="16"/>
                <w:szCs w:val="16"/>
              </w:rPr>
              <w:t xml:space="preserve">Черкассы: </w:t>
            </w:r>
            <w:proofErr w:type="spellStart"/>
            <w:r w:rsidRPr="00A012CD">
              <w:rPr>
                <w:sz w:val="16"/>
                <w:szCs w:val="16"/>
              </w:rPr>
              <w:t>Сіяч</w:t>
            </w:r>
            <w:proofErr w:type="spellEnd"/>
            <w:r w:rsidRPr="00A012CD">
              <w:rPr>
                <w:sz w:val="16"/>
                <w:szCs w:val="16"/>
              </w:rPr>
              <w:t>, 1993.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Букач</w:t>
            </w:r>
            <w:proofErr w:type="spellEnd"/>
            <w:r w:rsidRPr="00A012CD">
              <w:rPr>
                <w:sz w:val="16"/>
                <w:szCs w:val="16"/>
              </w:rPr>
              <w:t xml:space="preserve"> В.М. Национальные </w:t>
            </w:r>
            <w:proofErr w:type="spellStart"/>
            <w:r w:rsidRPr="00A012CD">
              <w:rPr>
                <w:sz w:val="16"/>
                <w:szCs w:val="16"/>
              </w:rPr>
              <w:t>меньшинс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т</w:t>
            </w:r>
            <w:proofErr w:type="spellStart"/>
            <w:r w:rsidRPr="00A012CD">
              <w:rPr>
                <w:sz w:val="16"/>
                <w:szCs w:val="16"/>
              </w:rPr>
              <w:t>ва</w:t>
            </w:r>
            <w:proofErr w:type="spellEnd"/>
            <w:r w:rsidRPr="00A012CD">
              <w:rPr>
                <w:sz w:val="16"/>
                <w:szCs w:val="16"/>
              </w:rPr>
              <w:t xml:space="preserve"> и политика советского правительства Украины в 1921-1925 гг. </w:t>
            </w:r>
            <w:r w:rsidRPr="00A012CD">
              <w:rPr>
                <w:sz w:val="16"/>
                <w:szCs w:val="16"/>
                <w:lang w:val="uk-UA"/>
              </w:rPr>
              <w:t xml:space="preserve">- </w:t>
            </w:r>
            <w:r w:rsidRPr="00A012CD">
              <w:rPr>
                <w:sz w:val="16"/>
                <w:szCs w:val="16"/>
              </w:rPr>
              <w:t>О.</w:t>
            </w:r>
            <w:r w:rsidRPr="00A012CD">
              <w:rPr>
                <w:sz w:val="16"/>
                <w:szCs w:val="16"/>
                <w:lang w:val="uk-UA"/>
              </w:rPr>
              <w:t>,</w:t>
            </w:r>
            <w:r w:rsidRPr="00A012CD">
              <w:rPr>
                <w:sz w:val="16"/>
                <w:szCs w:val="16"/>
              </w:rPr>
              <w:t xml:space="preserve"> 1999. </w:t>
            </w:r>
          </w:p>
        </w:tc>
        <w:tc>
          <w:tcPr>
            <w:tcW w:w="1417" w:type="dxa"/>
            <w:shd w:val="clear" w:color="auto" w:fill="auto"/>
          </w:tcPr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Загальний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огляд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етнополітики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урядів</w:t>
            </w:r>
            <w:proofErr w:type="spellEnd"/>
            <w:r w:rsidRPr="00A012CD">
              <w:rPr>
                <w:sz w:val="16"/>
                <w:szCs w:val="16"/>
              </w:rPr>
              <w:t xml:space="preserve"> в 1917–1921 </w:t>
            </w:r>
            <w:proofErr w:type="spellStart"/>
            <w:r w:rsidRPr="00A012CD">
              <w:rPr>
                <w:sz w:val="16"/>
                <w:szCs w:val="16"/>
              </w:rPr>
              <w:t>рр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"253389"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Забезпечення</w:t>
            </w:r>
            <w:proofErr w:type="spellEnd"/>
            <w:r w:rsidRPr="00A012CD">
              <w:rPr>
                <w:sz w:val="16"/>
                <w:szCs w:val="16"/>
              </w:rPr>
              <w:t xml:space="preserve"> умов </w:t>
            </w:r>
            <w:proofErr w:type="spellStart"/>
            <w:r w:rsidRPr="00A012CD">
              <w:rPr>
                <w:sz w:val="16"/>
                <w:szCs w:val="16"/>
              </w:rPr>
              <w:t>етнокультурного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політичного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розвитку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національних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під</w:t>
            </w:r>
            <w:proofErr w:type="spellEnd"/>
            <w:r w:rsidRPr="00A012CD">
              <w:rPr>
                <w:sz w:val="16"/>
                <w:szCs w:val="16"/>
              </w:rPr>
              <w:t xml:space="preserve"> час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революції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"https://d-learn.pnu.edu.ua/index.php?mod=lecture&amp;action=ReviewLectureContent&amp;id_l=27903&amp;id_cat=183&amp;id_cou=5602" \l "253390"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 xml:space="preserve">Участь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у </w:t>
            </w:r>
            <w:proofErr w:type="spellStart"/>
            <w:r w:rsidRPr="00A012CD">
              <w:rPr>
                <w:sz w:val="16"/>
                <w:szCs w:val="16"/>
              </w:rPr>
              <w:t>представницьких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виконавчих</w:t>
            </w:r>
            <w:proofErr w:type="spellEnd"/>
            <w:r w:rsidRPr="00A012CD">
              <w:rPr>
                <w:sz w:val="16"/>
                <w:szCs w:val="16"/>
              </w:rPr>
              <w:t xml:space="preserve"> структурах </w:t>
            </w:r>
            <w:proofErr w:type="spellStart"/>
            <w:r w:rsidRPr="00A012CD">
              <w:rPr>
                <w:sz w:val="16"/>
                <w:szCs w:val="16"/>
              </w:rPr>
              <w:t>влади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революції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t>5 б. (вибірково, під час опитування на семінарі).</w:t>
            </w:r>
          </w:p>
        </w:tc>
        <w:tc>
          <w:tcPr>
            <w:tcW w:w="1525" w:type="dxa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Жовтень 2020</w:t>
            </w:r>
          </w:p>
        </w:tc>
      </w:tr>
      <w:tr w:rsidR="00286614" w:rsidRPr="006325D4" w:rsidTr="006325D4">
        <w:tc>
          <w:tcPr>
            <w:tcW w:w="942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 w:eastAsia="uk-UA"/>
              </w:rPr>
              <w:t xml:space="preserve">Етнонаціональна структура </w:t>
            </w:r>
            <w:r w:rsidRPr="00A012CD">
              <w:rPr>
                <w:sz w:val="16"/>
                <w:szCs w:val="16"/>
                <w:lang w:val="uk-UA" w:eastAsia="uk-UA"/>
              </w:rPr>
              <w:lastRenderedPageBreak/>
              <w:t>світу та України: титульні етноси, корінні народи, меншини</w:t>
            </w:r>
          </w:p>
        </w:tc>
        <w:tc>
          <w:tcPr>
            <w:tcW w:w="1151" w:type="dxa"/>
            <w:gridSpan w:val="4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Лекція, семінар</w:t>
            </w:r>
          </w:p>
        </w:tc>
        <w:tc>
          <w:tcPr>
            <w:tcW w:w="3402" w:type="dxa"/>
            <w:gridSpan w:val="4"/>
          </w:tcPr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Вівчарик М. Українство і національні меншини в Україні: уроки історії, нові </w:t>
            </w:r>
            <w:r w:rsidRPr="00A012CD">
              <w:rPr>
                <w:sz w:val="16"/>
                <w:szCs w:val="16"/>
                <w:lang w:val="uk-UA"/>
              </w:rPr>
              <w:lastRenderedPageBreak/>
              <w:t>пріоритети (2-а пол. 40-х-поч. 90-х років ХХ ст.) // Історія в школі. -1998.-№ 3, 4.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Гуменюк А.О. Соціальна і національна структура міського населення Правобережної України (друга половина ХІХ ст.) // Український історичний журнал.-1993.-№ 10.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Гуржій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О.І. До питання про кількість та етнічний склад населення України в другій половині 17 ст. // Український історичний журнал.-1993.-№ 4-6.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Гусєв В. Національні меншини в планах розбудови української держави (доба Центральної Ради, Гетьманщини, Директорії) // Розбудова держави.-1993.-№ 12.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Деревинський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В. Інонаціональні підрозділи УПА // Віче.-2003.-№ 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До історії міжнаціональних процесів в Україні (30-ті роки): стат. матеріали // Український історичний журнал.-1990.-№ 6,8,10,11,12; 1991.-№ 12, 1992.-№ 12, 1993.-№ 2-3.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Етнонаціональний розвиток в Україні та стан української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етнічності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в діаспорі: сутність, реалії конфліктності, проблеми та прогнози на порозі ХХІ ст.: Тези п’ятої міжнародної науково-практичної конференції, 22-25 травня 1997 р.-К.; Чернівці, 1997.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Етнонаціональні процеси в Україні: історія та сучасність / За ред. В.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Наулка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.-К.: Головна спеціалізована редакція літератури мовами національних меншин України, 2001.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Журба М.А. Громадські об’єднання радянського села і національні меншини України (20-30-рр. ХХ ст.).-К., 2002.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Кабузан</w:t>
            </w:r>
            <w:proofErr w:type="spellEnd"/>
            <w:r w:rsidRPr="00A012CD">
              <w:rPr>
                <w:sz w:val="16"/>
                <w:szCs w:val="16"/>
              </w:rPr>
              <w:t xml:space="preserve"> М.В. </w:t>
            </w:r>
            <w:proofErr w:type="spellStart"/>
            <w:r w:rsidRPr="00A012CD">
              <w:rPr>
                <w:sz w:val="16"/>
                <w:szCs w:val="16"/>
              </w:rPr>
              <w:t>Чисельність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національний</w:t>
            </w:r>
            <w:proofErr w:type="spellEnd"/>
            <w:r w:rsidRPr="00A012CD">
              <w:rPr>
                <w:sz w:val="16"/>
                <w:szCs w:val="16"/>
              </w:rPr>
              <w:t xml:space="preserve"> склад </w:t>
            </w:r>
            <w:proofErr w:type="spellStart"/>
            <w:r w:rsidRPr="00A012CD">
              <w:rPr>
                <w:sz w:val="16"/>
                <w:szCs w:val="16"/>
              </w:rPr>
              <w:t>населення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Новоросії</w:t>
            </w:r>
            <w:proofErr w:type="spellEnd"/>
            <w:r w:rsidRPr="00A012CD">
              <w:rPr>
                <w:sz w:val="16"/>
                <w:szCs w:val="16"/>
              </w:rPr>
              <w:t xml:space="preserve"> в 60-80-х роках 18 ст.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історико-географічний</w:t>
            </w:r>
            <w:proofErr w:type="spellEnd"/>
            <w:r w:rsidRPr="00A012CD">
              <w:rPr>
                <w:sz w:val="16"/>
                <w:szCs w:val="16"/>
              </w:rPr>
              <w:t xml:space="preserve"> збірник.-1971.-Вип. 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Мазур В. М. Кооперативний рух у національних районах УСРР (1921-1929): Автореф. Дис. ...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к.і.н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>.-К., 2000.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Міжнаціональні відносини на Півдні України: історія та сучасність.-Запоріжжя, 1993.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t>Многонациональный Одесский край: образ и реальности: (Документы. Очерки. Материалы</w:t>
            </w:r>
            <w:proofErr w:type="gramStart"/>
            <w:r w:rsidRPr="00A012CD">
              <w:rPr>
                <w:sz w:val="16"/>
                <w:szCs w:val="16"/>
              </w:rPr>
              <w:t>).-</w:t>
            </w:r>
            <w:proofErr w:type="gramEnd"/>
            <w:r w:rsidRPr="00A012CD">
              <w:rPr>
                <w:sz w:val="16"/>
                <w:szCs w:val="16"/>
              </w:rPr>
              <w:t>М.: Старый сад, 1997.-Т. 2, 3.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Національні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меншини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Правобережної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України</w:t>
            </w:r>
            <w:proofErr w:type="spellEnd"/>
            <w:r w:rsidRPr="00A012CD">
              <w:rPr>
                <w:sz w:val="16"/>
                <w:szCs w:val="16"/>
              </w:rPr>
              <w:t xml:space="preserve">: </w:t>
            </w:r>
            <w:proofErr w:type="spellStart"/>
            <w:r w:rsidRPr="00A012CD">
              <w:rPr>
                <w:sz w:val="16"/>
                <w:szCs w:val="16"/>
              </w:rPr>
              <w:t>Історія</w:t>
            </w:r>
            <w:proofErr w:type="spellEnd"/>
            <w:r w:rsidRPr="00A012CD">
              <w:rPr>
                <w:sz w:val="16"/>
                <w:szCs w:val="16"/>
              </w:rPr>
              <w:t xml:space="preserve"> і </w:t>
            </w:r>
            <w:proofErr w:type="spellStart"/>
            <w:r w:rsidRPr="00A012CD">
              <w:rPr>
                <w:sz w:val="16"/>
                <w:szCs w:val="16"/>
              </w:rPr>
              <w:t>сучасність</w:t>
            </w:r>
            <w:proofErr w:type="spellEnd"/>
            <w:r w:rsidRPr="00A012CD">
              <w:rPr>
                <w:sz w:val="16"/>
                <w:szCs w:val="16"/>
              </w:rPr>
              <w:t xml:space="preserve">. Наук. </w:t>
            </w:r>
            <w:proofErr w:type="spellStart"/>
            <w:proofErr w:type="gramStart"/>
            <w:r w:rsidRPr="00A012CD">
              <w:rPr>
                <w:sz w:val="16"/>
                <w:szCs w:val="16"/>
              </w:rPr>
              <w:t>зб</w:t>
            </w:r>
            <w:proofErr w:type="spellEnd"/>
            <w:r w:rsidRPr="00A012CD">
              <w:rPr>
                <w:sz w:val="16"/>
                <w:szCs w:val="16"/>
              </w:rPr>
              <w:t>.-</w:t>
            </w:r>
            <w:proofErr w:type="gramEnd"/>
            <w:r w:rsidRPr="00A012CD">
              <w:rPr>
                <w:sz w:val="16"/>
                <w:szCs w:val="16"/>
              </w:rPr>
              <w:t xml:space="preserve">Житомир: </w:t>
            </w:r>
            <w:proofErr w:type="spellStart"/>
            <w:r w:rsidRPr="00A012CD">
              <w:rPr>
                <w:sz w:val="16"/>
                <w:szCs w:val="16"/>
              </w:rPr>
              <w:t>Волинь</w:t>
            </w:r>
            <w:proofErr w:type="spellEnd"/>
            <w:r w:rsidRPr="00A012CD">
              <w:rPr>
                <w:sz w:val="16"/>
                <w:szCs w:val="16"/>
              </w:rPr>
              <w:t>, 1998. – (</w:t>
            </w:r>
            <w:proofErr w:type="spellStart"/>
            <w:r w:rsidRPr="00A012CD">
              <w:rPr>
                <w:sz w:val="16"/>
                <w:szCs w:val="16"/>
              </w:rPr>
              <w:t>Праці</w:t>
            </w:r>
            <w:proofErr w:type="spellEnd"/>
            <w:r w:rsidRPr="00A012CD">
              <w:rPr>
                <w:sz w:val="16"/>
                <w:szCs w:val="16"/>
              </w:rPr>
              <w:t xml:space="preserve"> Житомир. </w:t>
            </w:r>
            <w:proofErr w:type="gramStart"/>
            <w:r w:rsidRPr="00A012CD">
              <w:rPr>
                <w:sz w:val="16"/>
                <w:szCs w:val="16"/>
              </w:rPr>
              <w:t>наук.-</w:t>
            </w:r>
            <w:proofErr w:type="spellStart"/>
            <w:proofErr w:type="gramEnd"/>
            <w:r w:rsidRPr="00A012CD">
              <w:rPr>
                <w:sz w:val="16"/>
                <w:szCs w:val="16"/>
              </w:rPr>
              <w:t>краєзнавч</w:t>
            </w:r>
            <w:proofErr w:type="spellEnd"/>
            <w:r w:rsidRPr="00A012CD">
              <w:rPr>
                <w:sz w:val="16"/>
                <w:szCs w:val="16"/>
              </w:rPr>
              <w:t>. т-</w:t>
            </w:r>
            <w:proofErr w:type="spellStart"/>
            <w:r w:rsidRPr="00A012CD">
              <w:rPr>
                <w:sz w:val="16"/>
                <w:szCs w:val="16"/>
              </w:rPr>
              <w:t>ва</w:t>
            </w:r>
            <w:proofErr w:type="spellEnd"/>
            <w:r w:rsidRPr="00A012CD">
              <w:rPr>
                <w:sz w:val="16"/>
                <w:szCs w:val="16"/>
              </w:rPr>
              <w:t>, т. 18).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Національні процеси в Україні: Історія і сучасність. Документи і матеріали. Ч. 1-2.-К.: Вища шк., 1997. 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</w:rPr>
              <w:t>Нікольський</w:t>
            </w:r>
            <w:proofErr w:type="spellEnd"/>
            <w:r w:rsidRPr="00A012CD">
              <w:rPr>
                <w:sz w:val="16"/>
                <w:szCs w:val="16"/>
              </w:rPr>
              <w:t xml:space="preserve"> В.М. </w:t>
            </w:r>
            <w:proofErr w:type="spellStart"/>
            <w:r w:rsidRPr="00A012CD">
              <w:rPr>
                <w:sz w:val="16"/>
                <w:szCs w:val="16"/>
              </w:rPr>
              <w:t>Національні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аспекти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політичних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репресій</w:t>
            </w:r>
            <w:proofErr w:type="spellEnd"/>
            <w:r w:rsidRPr="00A012CD">
              <w:rPr>
                <w:sz w:val="16"/>
                <w:szCs w:val="16"/>
              </w:rPr>
              <w:t xml:space="preserve"> 1937 р.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  <w:r w:rsidRPr="00A012CD">
              <w:rPr>
                <w:sz w:val="16"/>
                <w:szCs w:val="16"/>
              </w:rPr>
              <w:t xml:space="preserve">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історичний</w:t>
            </w:r>
            <w:proofErr w:type="spellEnd"/>
            <w:r w:rsidRPr="00A012CD">
              <w:rPr>
                <w:sz w:val="16"/>
                <w:szCs w:val="16"/>
              </w:rPr>
              <w:t xml:space="preserve"> журнал.-2001.-№ 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Польовий Л.П., Чирко Б.В. Національні меншини українського села в умовах колективізації // Український історичний журнал.-1993.-№ 4-6.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 xml:space="preserve">Черкаський А.В. До питання про </w:t>
            </w:r>
            <w:proofErr w:type="spellStart"/>
            <w:r w:rsidRPr="00A012CD">
              <w:rPr>
                <w:sz w:val="16"/>
                <w:szCs w:val="16"/>
                <w:lang w:val="uk-UA"/>
              </w:rPr>
              <w:t>етносоціальний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склад населення Півдня України у 20-ті роки ХХ ст. // Український історичний журнал.-1993.-№ 11-12.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</w:rPr>
              <w:t xml:space="preserve">Шевченко Ф.П. Участь </w:t>
            </w:r>
            <w:proofErr w:type="spellStart"/>
            <w:r w:rsidRPr="00A012CD">
              <w:rPr>
                <w:sz w:val="16"/>
                <w:szCs w:val="16"/>
              </w:rPr>
              <w:t>представників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різних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національностей</w:t>
            </w:r>
            <w:proofErr w:type="spellEnd"/>
            <w:r w:rsidRPr="00A012CD">
              <w:rPr>
                <w:sz w:val="16"/>
                <w:szCs w:val="16"/>
              </w:rPr>
              <w:t xml:space="preserve"> у </w:t>
            </w:r>
            <w:proofErr w:type="spellStart"/>
            <w:r w:rsidRPr="00A012CD">
              <w:rPr>
                <w:sz w:val="16"/>
                <w:szCs w:val="16"/>
              </w:rPr>
              <w:t>Визвольній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війні</w:t>
            </w:r>
            <w:proofErr w:type="spellEnd"/>
            <w:r w:rsidRPr="00A012CD">
              <w:rPr>
                <w:sz w:val="16"/>
                <w:szCs w:val="16"/>
              </w:rPr>
              <w:t xml:space="preserve"> 1648-1654 </w:t>
            </w:r>
            <w:proofErr w:type="spellStart"/>
            <w:r w:rsidRPr="00A012CD">
              <w:rPr>
                <w:sz w:val="16"/>
                <w:szCs w:val="16"/>
              </w:rPr>
              <w:t>рр</w:t>
            </w:r>
            <w:proofErr w:type="spellEnd"/>
            <w:r w:rsidRPr="00A012CD">
              <w:rPr>
                <w:sz w:val="16"/>
                <w:szCs w:val="16"/>
              </w:rPr>
              <w:t xml:space="preserve">. // </w:t>
            </w:r>
            <w:proofErr w:type="spellStart"/>
            <w:r w:rsidRPr="00A012CD">
              <w:rPr>
                <w:sz w:val="16"/>
                <w:szCs w:val="16"/>
              </w:rPr>
              <w:t>Український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історичний</w:t>
            </w:r>
            <w:proofErr w:type="spellEnd"/>
            <w:r w:rsidRPr="00A012CD">
              <w:rPr>
                <w:sz w:val="16"/>
                <w:szCs w:val="16"/>
              </w:rPr>
              <w:t xml:space="preserve"> журнал.-1978.-№ 11.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proofErr w:type="spellStart"/>
            <w:r w:rsidRPr="00A012CD">
              <w:rPr>
                <w:sz w:val="16"/>
                <w:szCs w:val="16"/>
                <w:lang w:val="uk-UA"/>
              </w:rPr>
              <w:t>Шпорлюк</w:t>
            </w:r>
            <w:proofErr w:type="spellEnd"/>
            <w:r w:rsidRPr="00A012CD">
              <w:rPr>
                <w:sz w:val="16"/>
                <w:szCs w:val="16"/>
                <w:lang w:val="uk-UA"/>
              </w:rPr>
              <w:t xml:space="preserve"> Р. Імперія та нації. З історичного досвіду Росії, Польщі та Білорусії.- К., 2000.</w:t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Щербак М.Г., Щербак Н.О. Національна політика царизму на Правобережній Україні.-К., 1997.</w:t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lastRenderedPageBreak/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"253397"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Поліетнічність</w:t>
            </w:r>
            <w:proofErr w:type="spellEnd"/>
            <w:r w:rsidRPr="00A012CD">
              <w:rPr>
                <w:sz w:val="16"/>
                <w:szCs w:val="16"/>
              </w:rPr>
              <w:t xml:space="preserve"> та </w:t>
            </w:r>
            <w:proofErr w:type="spellStart"/>
            <w:r w:rsidRPr="00A012CD">
              <w:rPr>
                <w:sz w:val="16"/>
                <w:szCs w:val="16"/>
              </w:rPr>
              <w:t>етнонаціональна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r w:rsidRPr="00A012CD">
              <w:rPr>
                <w:sz w:val="16"/>
                <w:szCs w:val="16"/>
              </w:rPr>
              <w:lastRenderedPageBreak/>
              <w:t xml:space="preserve">структура </w:t>
            </w:r>
            <w:proofErr w:type="spellStart"/>
            <w:r w:rsidRPr="00A012CD">
              <w:rPr>
                <w:sz w:val="16"/>
                <w:szCs w:val="16"/>
              </w:rPr>
              <w:t>суспільства</w:t>
            </w:r>
            <w:proofErr w:type="spellEnd"/>
            <w:r w:rsidRPr="00A012CD">
              <w:rPr>
                <w:sz w:val="16"/>
                <w:szCs w:val="16"/>
              </w:rPr>
              <w:t xml:space="preserve">. </w:t>
            </w:r>
            <w:proofErr w:type="spellStart"/>
            <w:r w:rsidRPr="00A012CD">
              <w:rPr>
                <w:sz w:val="16"/>
                <w:szCs w:val="16"/>
              </w:rPr>
              <w:t>Типологія</w:t>
            </w:r>
            <w:proofErr w:type="spellEnd"/>
            <w:r w:rsidRPr="00A012CD">
              <w:rPr>
                <w:sz w:val="16"/>
                <w:szCs w:val="16"/>
              </w:rPr>
              <w:t xml:space="preserve"> держав </w:t>
            </w:r>
            <w:proofErr w:type="spellStart"/>
            <w:r w:rsidRPr="00A012CD">
              <w:rPr>
                <w:sz w:val="16"/>
                <w:szCs w:val="16"/>
              </w:rPr>
              <w:t>світу</w:t>
            </w:r>
            <w:proofErr w:type="spellEnd"/>
            <w:r w:rsidRPr="00A012CD">
              <w:rPr>
                <w:sz w:val="16"/>
                <w:szCs w:val="16"/>
              </w:rPr>
              <w:t xml:space="preserve"> за </w:t>
            </w:r>
            <w:proofErr w:type="spellStart"/>
            <w:r w:rsidRPr="00A012CD">
              <w:rPr>
                <w:sz w:val="16"/>
                <w:szCs w:val="16"/>
              </w:rPr>
              <w:t>етнонаціональним</w:t>
            </w:r>
            <w:proofErr w:type="spellEnd"/>
            <w:r w:rsidRPr="00A012CD">
              <w:rPr>
                <w:sz w:val="16"/>
                <w:szCs w:val="16"/>
              </w:rPr>
              <w:t xml:space="preserve"> складом </w:t>
            </w:r>
            <w:proofErr w:type="spellStart"/>
            <w:r w:rsidRPr="00A012CD">
              <w:rPr>
                <w:sz w:val="16"/>
                <w:szCs w:val="16"/>
              </w:rPr>
              <w:t>населення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"253398"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Географія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української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етнічної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нації</w:t>
            </w:r>
            <w:proofErr w:type="spellEnd"/>
            <w:r w:rsidRPr="00A012CD">
              <w:rPr>
                <w:sz w:val="16"/>
                <w:szCs w:val="16"/>
              </w:rPr>
              <w:t xml:space="preserve">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  <w:r w:rsidRPr="00A012CD">
              <w:rPr>
                <w:sz w:val="16"/>
                <w:szCs w:val="16"/>
              </w:rPr>
              <w:t>.</w:t>
            </w:r>
          </w:p>
          <w:p w:rsidR="00A012CD" w:rsidRPr="00A012CD" w:rsidRDefault="00A012CD" w:rsidP="00A012CD">
            <w:pPr>
              <w:pStyle w:val="af"/>
              <w:rPr>
                <w:rStyle w:val="a8"/>
                <w:color w:val="auto"/>
                <w:sz w:val="16"/>
                <w:szCs w:val="16"/>
                <w:u w:val="none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  <w:r w:rsidRPr="00A012CD">
              <w:rPr>
                <w:sz w:val="16"/>
                <w:szCs w:val="16"/>
              </w:rPr>
              <w:fldChar w:fldCharType="begin"/>
            </w:r>
            <w:r w:rsidRPr="00A012CD">
              <w:rPr>
                <w:sz w:val="16"/>
                <w:szCs w:val="16"/>
              </w:rPr>
              <w:instrText xml:space="preserve"> HYPERLINK "https://d-learn.pnu.edu.ua/index.php?mod=lecture&amp;action=ReviewLectureContent&amp;id_l=27904&amp;id_cat=183&amp;id_cou=5602" \l "253399" </w:instrText>
            </w:r>
            <w:r w:rsidRPr="00A012CD">
              <w:rPr>
                <w:sz w:val="16"/>
                <w:szCs w:val="16"/>
              </w:rPr>
              <w:fldChar w:fldCharType="separate"/>
            </w:r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proofErr w:type="spellStart"/>
            <w:r w:rsidRPr="00A012CD">
              <w:rPr>
                <w:sz w:val="16"/>
                <w:szCs w:val="16"/>
              </w:rPr>
              <w:t>Географія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корінних</w:t>
            </w:r>
            <w:proofErr w:type="spellEnd"/>
            <w:r w:rsidRPr="00A012CD">
              <w:rPr>
                <w:sz w:val="16"/>
                <w:szCs w:val="16"/>
              </w:rPr>
              <w:t xml:space="preserve"> </w:t>
            </w:r>
            <w:proofErr w:type="spellStart"/>
            <w:r w:rsidRPr="00A012CD">
              <w:rPr>
                <w:sz w:val="16"/>
                <w:szCs w:val="16"/>
              </w:rPr>
              <w:t>народів</w:t>
            </w:r>
            <w:proofErr w:type="spellEnd"/>
            <w:r w:rsidRPr="00A012CD">
              <w:rPr>
                <w:sz w:val="16"/>
                <w:szCs w:val="16"/>
              </w:rPr>
              <w:t xml:space="preserve"> і </w:t>
            </w:r>
            <w:proofErr w:type="spellStart"/>
            <w:r w:rsidRPr="00A012CD">
              <w:rPr>
                <w:sz w:val="16"/>
                <w:szCs w:val="16"/>
              </w:rPr>
              <w:t>меншин</w:t>
            </w:r>
            <w:proofErr w:type="spellEnd"/>
            <w:r w:rsidRPr="00A012CD">
              <w:rPr>
                <w:sz w:val="16"/>
                <w:szCs w:val="16"/>
              </w:rPr>
              <w:t xml:space="preserve"> в </w:t>
            </w:r>
            <w:proofErr w:type="spellStart"/>
            <w:r w:rsidRPr="00A012CD">
              <w:rPr>
                <w:sz w:val="16"/>
                <w:szCs w:val="16"/>
              </w:rPr>
              <w:t>Україні</w:t>
            </w:r>
            <w:proofErr w:type="spellEnd"/>
          </w:p>
          <w:p w:rsidR="00A012CD" w:rsidRPr="00A012CD" w:rsidRDefault="00A012CD" w:rsidP="00A012CD">
            <w:pPr>
              <w:pStyle w:val="af"/>
              <w:rPr>
                <w:sz w:val="16"/>
                <w:szCs w:val="16"/>
              </w:rPr>
            </w:pPr>
            <w:r w:rsidRPr="00A012CD">
              <w:rPr>
                <w:sz w:val="16"/>
                <w:szCs w:val="16"/>
              </w:rPr>
              <w:fldChar w:fldCharType="end"/>
            </w:r>
          </w:p>
          <w:p w:rsidR="00286614" w:rsidRPr="00A012CD" w:rsidRDefault="00286614" w:rsidP="00A012CD">
            <w:pPr>
              <w:pStyle w:val="af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892FE3">
              <w:rPr>
                <w:sz w:val="22"/>
                <w:szCs w:val="22"/>
                <w:lang w:val="uk-UA"/>
              </w:rPr>
              <w:lastRenderedPageBreak/>
              <w:t>5 б. (вибірков</w:t>
            </w:r>
            <w:r w:rsidRPr="00892FE3">
              <w:rPr>
                <w:sz w:val="22"/>
                <w:szCs w:val="22"/>
                <w:lang w:val="uk-UA"/>
              </w:rPr>
              <w:lastRenderedPageBreak/>
              <w:t>о, під час опитування на семінарі).</w:t>
            </w:r>
          </w:p>
        </w:tc>
        <w:tc>
          <w:tcPr>
            <w:tcW w:w="1525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Листопад 2020</w:t>
            </w:r>
          </w:p>
        </w:tc>
      </w:tr>
      <w:tr w:rsidR="00286614" w:rsidRPr="006325D4" w:rsidTr="006325D4">
        <w:tc>
          <w:tcPr>
            <w:tcW w:w="942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lastRenderedPageBreak/>
              <w:t>Підсумкове заняття</w:t>
            </w:r>
          </w:p>
        </w:tc>
        <w:tc>
          <w:tcPr>
            <w:tcW w:w="1151" w:type="dxa"/>
            <w:gridSpan w:val="4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Лекція, семінар</w:t>
            </w:r>
          </w:p>
        </w:tc>
        <w:tc>
          <w:tcPr>
            <w:tcW w:w="3402" w:type="dxa"/>
            <w:gridSpan w:val="4"/>
          </w:tcPr>
          <w:p w:rsidR="00286614" w:rsidRPr="00A012CD" w:rsidRDefault="00286614" w:rsidP="00A012CD">
            <w:pPr>
              <w:pStyle w:val="af"/>
              <w:rPr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Обговорення індивідуальних робіт</w:t>
            </w:r>
          </w:p>
        </w:tc>
        <w:tc>
          <w:tcPr>
            <w:tcW w:w="1134" w:type="dxa"/>
          </w:tcPr>
          <w:p w:rsidR="00286614" w:rsidRPr="00A012CD" w:rsidRDefault="00101243" w:rsidP="00A012CD">
            <w:pPr>
              <w:pStyle w:val="af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30 б</w:t>
            </w:r>
          </w:p>
        </w:tc>
        <w:tc>
          <w:tcPr>
            <w:tcW w:w="1525" w:type="dxa"/>
          </w:tcPr>
          <w:p w:rsidR="00286614" w:rsidRPr="00A012CD" w:rsidRDefault="00A012CD" w:rsidP="00A012CD">
            <w:pPr>
              <w:pStyle w:val="af"/>
              <w:rPr>
                <w:sz w:val="16"/>
                <w:szCs w:val="16"/>
                <w:lang w:val="uk-UA"/>
              </w:rPr>
            </w:pPr>
            <w:r w:rsidRPr="00A012CD">
              <w:rPr>
                <w:sz w:val="16"/>
                <w:szCs w:val="16"/>
                <w:lang w:val="uk-UA"/>
              </w:rPr>
              <w:t>Грудень 2020</w:t>
            </w:r>
          </w:p>
        </w:tc>
      </w:tr>
      <w:tr w:rsidR="00286614" w:rsidRPr="00C67355" w:rsidTr="006325D4">
        <w:tc>
          <w:tcPr>
            <w:tcW w:w="9571" w:type="dxa"/>
            <w:gridSpan w:val="12"/>
          </w:tcPr>
          <w:p w:rsidR="00286614" w:rsidRPr="00151BC4" w:rsidRDefault="00286614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Загальна система оцінювання курсу</w:t>
            </w:r>
          </w:p>
        </w:tc>
        <w:tc>
          <w:tcPr>
            <w:tcW w:w="7760" w:type="dxa"/>
            <w:gridSpan w:val="9"/>
          </w:tcPr>
          <w:tbl>
            <w:tblPr>
              <w:tblW w:w="4976" w:type="dxa"/>
              <w:tblInd w:w="2167" w:type="dxa"/>
              <w:tblLayout w:type="fixed"/>
              <w:tblLook w:val="01E0" w:firstRow="1" w:lastRow="1" w:firstColumn="1" w:lastColumn="1" w:noHBand="0" w:noVBand="0"/>
            </w:tblPr>
            <w:tblGrid>
              <w:gridCol w:w="1548"/>
              <w:gridCol w:w="1683"/>
              <w:gridCol w:w="1745"/>
            </w:tblGrid>
            <w:tr w:rsidR="00101243" w:rsidTr="00101243">
              <w:tc>
                <w:tcPr>
                  <w:tcW w:w="1548" w:type="dxa"/>
                  <w:vAlign w:val="center"/>
                  <w:hideMark/>
                </w:tcPr>
                <w:p w:rsidR="00101243" w:rsidRPr="00F62931" w:rsidRDefault="00101243" w:rsidP="00101243">
                  <w:pPr>
                    <w:ind w:left="-2243" w:firstLine="2243"/>
                  </w:pPr>
                  <w:proofErr w:type="spellStart"/>
                  <w:r w:rsidRPr="00F62931">
                    <w:t>Поточний</w:t>
                  </w:r>
                  <w:proofErr w:type="spellEnd"/>
                  <w:r w:rsidRPr="00F62931">
                    <w:rPr>
                      <w:lang w:val="uk-UA"/>
                    </w:rPr>
                    <w:t xml:space="preserve"> </w:t>
                  </w:r>
                  <w:r w:rsidRPr="00F62931">
                    <w:t>контроль</w:t>
                  </w:r>
                </w:p>
              </w:tc>
              <w:tc>
                <w:tcPr>
                  <w:tcW w:w="1683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Індивідуальна письмова робота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 w:rsidRPr="00F62931">
                    <w:rPr>
                      <w:lang w:val="uk-UA"/>
                    </w:rPr>
                    <w:t>Самостійна робота</w:t>
                  </w:r>
                </w:p>
              </w:tc>
            </w:tr>
            <w:tr w:rsidR="00101243" w:rsidTr="00101243">
              <w:tc>
                <w:tcPr>
                  <w:tcW w:w="1548" w:type="dxa"/>
                  <w:vAlign w:val="center"/>
                  <w:hideMark/>
                </w:tcPr>
                <w:p w:rsidR="00101243" w:rsidRPr="00F62931" w:rsidRDefault="00101243" w:rsidP="00A21BF2">
                  <w:r>
                    <w:rPr>
                      <w:lang w:val="uk-UA"/>
                    </w:rPr>
                    <w:t>50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  <w:tc>
                <w:tcPr>
                  <w:tcW w:w="1683" w:type="dxa"/>
                  <w:vAlign w:val="center"/>
                  <w:hideMark/>
                </w:tcPr>
                <w:p w:rsidR="00101243" w:rsidRPr="00F62931" w:rsidRDefault="00101243" w:rsidP="00A21BF2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3</w:t>
                  </w:r>
                  <w:r w:rsidRPr="00F62931">
                    <w:rPr>
                      <w:lang w:val="uk-UA"/>
                    </w:rPr>
                    <w:t>0 балів</w:t>
                  </w:r>
                </w:p>
              </w:tc>
              <w:tc>
                <w:tcPr>
                  <w:tcW w:w="1745" w:type="dxa"/>
                  <w:vAlign w:val="center"/>
                  <w:hideMark/>
                </w:tcPr>
                <w:p w:rsidR="00101243" w:rsidRPr="00F62931" w:rsidRDefault="00101243" w:rsidP="00A21BF2">
                  <w:r>
                    <w:rPr>
                      <w:lang w:val="uk-UA"/>
                    </w:rPr>
                    <w:t>20</w:t>
                  </w:r>
                  <w:r w:rsidRPr="00F62931">
                    <w:t xml:space="preserve"> </w:t>
                  </w:r>
                  <w:proofErr w:type="spellStart"/>
                  <w:r w:rsidRPr="00F62931">
                    <w:t>балів</w:t>
                  </w:r>
                  <w:proofErr w:type="spellEnd"/>
                </w:p>
              </w:tc>
            </w:tr>
          </w:tbl>
          <w:p w:rsidR="00101243" w:rsidRDefault="00101243" w:rsidP="00A21BF2">
            <w:pPr>
              <w:pStyle w:val="paragraph"/>
              <w:spacing w:after="0"/>
              <w:ind w:firstLine="0"/>
              <w:rPr>
                <w:b/>
                <w:lang w:val="uk-UA"/>
              </w:rPr>
            </w:pP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b/>
                <w:lang w:val="uk-UA"/>
              </w:rPr>
              <w:t>Поточний контроль</w:t>
            </w:r>
            <w:r w:rsidRPr="00964620">
              <w:rPr>
                <w:lang w:val="uk-UA"/>
              </w:rPr>
              <w:t xml:space="preserve"> – це оцінювання знань студента під час семінарських та практичних занять, якості виконання домашніх завдань, самостійної роботи та активності студента на занятті. 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Поточний контроль рівня засвоєння навчального матеріалу дисципліни  оцінюється за п’ятибальною шкалою. За семестр студент набирає до 50 балів.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Бали за аудиторну роботу не відпрацьовуються у разі пропусків без поважної причини. Якщо студент жодного разу не відповідав на семінарських заняттях, матиме за відповідний поточний контроль 0 балів.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Форми участі студентів у навчальному процесі, які підлягають поточному контролю: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Виступ з основного питання.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Усна наукова доповідь.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Доповнення, запитання до виступаючого, рецензія на виступ.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Участь у дискусіях, інтерактивних формах організації заняття.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Аналіз джерельної і монографічної літератури.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Письмові завдання (тестові, контрольні, творчі роботи тощо).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r w:rsidRPr="00964620">
              <w:rPr>
                <w:lang w:val="uk-UA"/>
              </w:rPr>
              <w:t>- Реферат, есе (письмові роботи, оформлені відповідно до вимог).</w:t>
            </w:r>
          </w:p>
          <w:p w:rsidR="00101243" w:rsidRPr="00964620" w:rsidRDefault="00101243" w:rsidP="00A21BF2">
            <w:pPr>
              <w:pStyle w:val="paragraph"/>
              <w:spacing w:after="0"/>
              <w:ind w:firstLine="0"/>
              <w:rPr>
                <w:lang w:val="uk-UA"/>
              </w:rPr>
            </w:pPr>
            <w:proofErr w:type="spellStart"/>
            <w:r w:rsidRPr="00964620">
              <w:t>Результати</w:t>
            </w:r>
            <w:proofErr w:type="spellEnd"/>
            <w:r w:rsidRPr="00964620">
              <w:t xml:space="preserve"> поточного контролю </w:t>
            </w:r>
            <w:proofErr w:type="spellStart"/>
            <w:r w:rsidRPr="00964620">
              <w:t>заносяться</w:t>
            </w:r>
            <w:proofErr w:type="spellEnd"/>
            <w:r w:rsidRPr="00964620">
              <w:t xml:space="preserve"> </w:t>
            </w:r>
            <w:proofErr w:type="gramStart"/>
            <w:r w:rsidRPr="00964620">
              <w:t>до журналу</w:t>
            </w:r>
            <w:proofErr w:type="gramEnd"/>
            <w:r w:rsidRPr="00964620">
              <w:t xml:space="preserve"> </w:t>
            </w:r>
            <w:proofErr w:type="spellStart"/>
            <w:r w:rsidRPr="00964620">
              <w:t>обліку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роботи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академічної</w:t>
            </w:r>
            <w:proofErr w:type="spellEnd"/>
            <w:r w:rsidRPr="00964620">
              <w:t xml:space="preserve"> </w:t>
            </w:r>
            <w:proofErr w:type="spellStart"/>
            <w:r w:rsidRPr="00964620">
              <w:t>групи</w:t>
            </w:r>
            <w:proofErr w:type="spellEnd"/>
            <w:r w:rsidRPr="00964620">
              <w:t>.</w:t>
            </w:r>
            <w:r w:rsidRPr="00964620">
              <w:rPr>
                <w:lang w:val="uk-UA"/>
              </w:rPr>
              <w:t xml:space="preserve"> Позитивна оцінка поточної успішності студента за відсутності пропущених і невідпрацьованих семінарських занять, позитивні оцінки за модульні роботи є підставою допуску до підсумкової форми контролю –</w:t>
            </w:r>
            <w:r>
              <w:rPr>
                <w:lang w:val="uk-UA"/>
              </w:rPr>
              <w:t>заліку</w:t>
            </w:r>
            <w:r w:rsidRPr="00964620">
              <w:rPr>
                <w:lang w:val="uk-UA"/>
              </w:rPr>
              <w:t>.</w:t>
            </w:r>
          </w:p>
          <w:p w:rsidR="00101243" w:rsidRPr="00B86ED1" w:rsidRDefault="00101243" w:rsidP="00A21BF2">
            <w:pPr>
              <w:pStyle w:val="paragraph"/>
              <w:spacing w:after="0"/>
              <w:ind w:firstLine="0"/>
              <w:rPr>
                <w:sz w:val="22"/>
                <w:szCs w:val="22"/>
                <w:lang w:val="uk-UA"/>
              </w:rPr>
            </w:pPr>
            <w:r w:rsidRPr="00745307">
              <w:rPr>
                <w:color w:val="000000"/>
                <w:lang w:val="uk-UA" w:eastAsia="uk-UA"/>
              </w:rPr>
              <w:t>При контролі виконання завдань для </w:t>
            </w:r>
            <w:r w:rsidRPr="00745307">
              <w:rPr>
                <w:b/>
                <w:bCs/>
                <w:color w:val="000000"/>
                <w:lang w:val="uk-UA" w:eastAsia="uk-UA"/>
              </w:rPr>
              <w:t>самостійного</w:t>
            </w:r>
            <w:r w:rsidRPr="00745307">
              <w:rPr>
                <w:color w:val="000000"/>
                <w:lang w:val="uk-UA" w:eastAsia="uk-UA"/>
              </w:rPr>
              <w:t> опрацювання оцінці можуть підлягати: самостійне опрацювання тем загалом чи окремих питань; самостійне опрацювання першоджерел; написання та публічний захист рефератів, есе; підготовка конспектів навчальних чи наукових текстів, переклад іноземних текстів тощо. Самостійна робота студентів оцінюється в діапазоні від 0 до 5 балів протягом одного модулю.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760" w:type="dxa"/>
            <w:gridSpan w:val="9"/>
          </w:tcPr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>
              <w:rPr>
                <w:szCs w:val="28"/>
                <w:lang w:val="uk-UA" w:eastAsia="uk-UA"/>
              </w:rPr>
              <w:t>Д</w:t>
            </w:r>
            <w:r w:rsidRPr="00007BDB">
              <w:rPr>
                <w:szCs w:val="28"/>
                <w:lang w:val="uk-UA" w:eastAsia="uk-UA"/>
              </w:rPr>
              <w:t>оповіді та індивідуальні завдання за відповідними темами семінарських занять виконуються самостійно при консультуванні викладачем протягом вивчення навчальної дисципліни у відповідності до графіку навчального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процесу. Даний вид роботи виконується з метою закріплення, поглиблення і узагальнення знань, одержаних студентами за час навчання та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набуття практичних навичок їх застосування при вирішенні проблем публічного адміністрування. Доповіді та індивідуальні завдання допускають наявність наступних елементів наукового дослідження: практичної значущості; комплексного системного підходу до вирішення завдань дослідження; теоретичного використання передової сучасної методології і наукових розробок; наявність елементів творчості.</w:t>
            </w:r>
          </w:p>
          <w:p w:rsidR="00101243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 xml:space="preserve">Практична значущість докладів і індивідуальних завдань полягає в обґрунтуванні реальності їх результатів для потреб теорії та практики публічного адміністрування. Реальною вважається робота, яка виконана на основі аналізу результатів досліджень провідних фахівців в галузі публічного адміністрування, теоретичної бази щодо актуальних питань та </w:t>
            </w:r>
            <w:r w:rsidRPr="00007BDB">
              <w:rPr>
                <w:szCs w:val="28"/>
                <w:lang w:val="uk-UA" w:eastAsia="uk-UA"/>
              </w:rPr>
              <w:lastRenderedPageBreak/>
              <w:t>запропонованої теоретико-методичної і методологічної баз щодо шляхів вирішення проблем, які існують в публічному адмініструванні.</w:t>
            </w:r>
          </w:p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Комплексний системний підхід до розкриття теми доповідей і індивідуальних завдань полягає в тому, що предмет дослідження розглядається під різними точками зору –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з позицій теоретичної бази і практичних напрацювань його реалізації в суспільній діяльності,</w:t>
            </w:r>
            <w:r>
              <w:rPr>
                <w:szCs w:val="28"/>
                <w:lang w:val="uk-UA" w:eastAsia="uk-UA"/>
              </w:rPr>
              <w:t xml:space="preserve"> </w:t>
            </w:r>
            <w:r w:rsidRPr="00007BDB">
              <w:rPr>
                <w:szCs w:val="28"/>
                <w:lang w:val="uk-UA" w:eastAsia="uk-UA"/>
              </w:rPr>
              <w:t>в тісній взаємодії та єдиній логіці викладення.</w:t>
            </w:r>
          </w:p>
          <w:p w:rsidR="00101243" w:rsidRPr="00007BDB" w:rsidRDefault="00101243" w:rsidP="00A21BF2">
            <w:pPr>
              <w:ind w:firstLine="540"/>
              <w:jc w:val="both"/>
              <w:rPr>
                <w:szCs w:val="28"/>
                <w:lang w:val="uk-UA" w:eastAsia="uk-UA"/>
              </w:rPr>
            </w:pPr>
            <w:r w:rsidRPr="00007BDB">
              <w:rPr>
                <w:szCs w:val="28"/>
                <w:lang w:val="uk-UA" w:eastAsia="uk-UA"/>
              </w:rPr>
              <w:t>Застосування сучасної методології дослідження полягає в тому, що при підготовці докладів індивідуальних завдань студент повинен використовувати існуючу теоретичну базу й апарат наукових методів дослідження. В процесі підготовки доповідей і індивідуальних завдань разом з теоретичними знаннями і практичними навиками за фахом, студент повинен продемонструвати здібності до науково-дослідної роботи і уміння творчо мислити, навчитися вирішувати науково-прикладні актуальні завдання.</w:t>
            </w:r>
          </w:p>
          <w:p w:rsidR="00101243" w:rsidRDefault="00101243" w:rsidP="00A21BF2">
            <w:pPr>
              <w:ind w:firstLine="540"/>
              <w:jc w:val="both"/>
              <w:rPr>
                <w:lang w:val="uk-UA"/>
              </w:rPr>
            </w:pPr>
            <w:proofErr w:type="spellStart"/>
            <w:r>
              <w:t>Написання</w:t>
            </w:r>
            <w:proofErr w:type="spellEnd"/>
            <w:r>
              <w:t xml:space="preserve"> </w:t>
            </w:r>
            <w:r>
              <w:rPr>
                <w:lang w:val="uk-UA"/>
              </w:rPr>
              <w:t xml:space="preserve">ІНДЗ </w:t>
            </w:r>
            <w:r>
              <w:t xml:space="preserve">на одну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запропонованих</w:t>
            </w:r>
            <w:proofErr w:type="spellEnd"/>
            <w:r>
              <w:t xml:space="preserve"> </w:t>
            </w:r>
            <w:proofErr w:type="spellStart"/>
            <w:r>
              <w:t>викладачем</w:t>
            </w:r>
            <w:proofErr w:type="spellEnd"/>
            <w:r>
              <w:t xml:space="preserve"> тем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наступних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: </w:t>
            </w:r>
            <w:proofErr w:type="spellStart"/>
            <w:r>
              <w:t>обсяг</w:t>
            </w:r>
            <w:proofErr w:type="spellEnd"/>
            <w:r>
              <w:t xml:space="preserve"> – 15-20 </w:t>
            </w:r>
            <w:proofErr w:type="spellStart"/>
            <w:r>
              <w:t>сторінок</w:t>
            </w:r>
            <w:proofErr w:type="spellEnd"/>
            <w:r>
              <w:t xml:space="preserve">, 14 шрифт, 1,5 </w:t>
            </w:r>
            <w:proofErr w:type="spellStart"/>
            <w:r>
              <w:t>інтервал</w:t>
            </w:r>
            <w:proofErr w:type="spellEnd"/>
            <w:r>
              <w:t xml:space="preserve">, поля: </w:t>
            </w:r>
            <w:proofErr w:type="spellStart"/>
            <w:r>
              <w:t>зліва</w:t>
            </w:r>
            <w:proofErr w:type="spellEnd"/>
            <w:r>
              <w:t xml:space="preserve">, </w:t>
            </w:r>
            <w:proofErr w:type="spellStart"/>
            <w:r>
              <w:t>зверху</w:t>
            </w:r>
            <w:proofErr w:type="spellEnd"/>
            <w:r>
              <w:t xml:space="preserve">, </w:t>
            </w:r>
            <w:proofErr w:type="spellStart"/>
            <w:r>
              <w:t>знизу</w:t>
            </w:r>
            <w:proofErr w:type="spellEnd"/>
            <w:r>
              <w:t xml:space="preserve"> – </w:t>
            </w:r>
            <w:smartTag w:uri="urn:schemas-microsoft-com:office:smarttags" w:element="metricconverter">
              <w:smartTagPr>
                <w:attr w:name="ProductID" w:val="20 мм"/>
              </w:smartTagPr>
              <w:r>
                <w:t>20 мм</w:t>
              </w:r>
            </w:smartTag>
            <w:r>
              <w:t xml:space="preserve">, справа – </w:t>
            </w:r>
            <w:smartTag w:uri="urn:schemas-microsoft-com:office:smarttags" w:element="metricconverter">
              <w:smartTagPr>
                <w:attr w:name="ProductID" w:val="15 мм"/>
              </w:smartTagPr>
              <w:r>
                <w:t>15 мм</w:t>
              </w:r>
            </w:smartTag>
            <w:r>
              <w:t xml:space="preserve">. Список </w:t>
            </w:r>
            <w:proofErr w:type="spellStart"/>
            <w:r>
              <w:t>літератури</w:t>
            </w:r>
            <w:proofErr w:type="spellEnd"/>
            <w:r>
              <w:t xml:space="preserve">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тексту за , де перша цифра – номер</w:t>
            </w:r>
            <w:r>
              <w:sym w:font="Symbol" w:char="F05D"/>
            </w:r>
            <w:r>
              <w:t>1, 8</w:t>
            </w:r>
            <w:r>
              <w:sym w:font="Symbol" w:char="F05B"/>
            </w:r>
            <w:proofErr w:type="spellStart"/>
            <w:r>
              <w:t>алфавітом</w:t>
            </w:r>
            <w:proofErr w:type="spellEnd"/>
            <w:r>
              <w:t xml:space="preserve">. </w:t>
            </w:r>
            <w:proofErr w:type="spellStart"/>
            <w:r>
              <w:t>Посилання</w:t>
            </w:r>
            <w:proofErr w:type="spellEnd"/>
            <w:r>
              <w:t xml:space="preserve"> в </w:t>
            </w:r>
            <w:proofErr w:type="spellStart"/>
            <w:r>
              <w:t>тексті</w:t>
            </w:r>
            <w:proofErr w:type="spellEnd"/>
            <w:r>
              <w:t xml:space="preserve"> в </w:t>
            </w:r>
            <w:proofErr w:type="spellStart"/>
            <w:r>
              <w:t>квадратних</w:t>
            </w:r>
            <w:proofErr w:type="spellEnd"/>
            <w:r>
              <w:t xml:space="preserve"> </w:t>
            </w:r>
            <w:proofErr w:type="gramStart"/>
            <w:r>
              <w:t xml:space="preserve">дужках  </w:t>
            </w:r>
            <w:proofErr w:type="spellStart"/>
            <w:r>
              <w:t>позиції</w:t>
            </w:r>
            <w:proofErr w:type="spellEnd"/>
            <w:proofErr w:type="gramEnd"/>
            <w:r>
              <w:t xml:space="preserve"> у списку </w:t>
            </w:r>
            <w:proofErr w:type="spellStart"/>
            <w:r>
              <w:t>літератури</w:t>
            </w:r>
            <w:proofErr w:type="spellEnd"/>
            <w:r>
              <w:t xml:space="preserve">, а друга – номер </w:t>
            </w:r>
            <w:proofErr w:type="spellStart"/>
            <w:r>
              <w:t>сторінки</w:t>
            </w:r>
            <w:proofErr w:type="spellEnd"/>
            <w:r>
              <w:t xml:space="preserve">. </w:t>
            </w:r>
          </w:p>
          <w:p w:rsidR="00101243" w:rsidRDefault="00101243" w:rsidP="00A21BF2">
            <w:pPr>
              <w:ind w:firstLine="540"/>
              <w:jc w:val="both"/>
              <w:rPr>
                <w:lang w:val="uk-UA"/>
              </w:rPr>
            </w:pPr>
            <w:r w:rsidRPr="0005107B">
              <w:rPr>
                <w:lang w:val="uk-UA"/>
              </w:rPr>
              <w:t xml:space="preserve">Індивідуальне навчально-дослідне завдання передбачає: систематизацію, закріплення, розширення теоретичних і практичних знань із дисципліни і застосування їх при вирішенні конкретних виробничих завдань; розвиток навичок самостійної роботи з літературними джерелами і звітністю підприємства. </w:t>
            </w:r>
            <w:proofErr w:type="spellStart"/>
            <w:r>
              <w:t>Виконане</w:t>
            </w:r>
            <w:proofErr w:type="spellEnd"/>
            <w:r>
              <w:t xml:space="preserve"> ІНДЗ студент </w:t>
            </w:r>
            <w:proofErr w:type="spellStart"/>
            <w:r>
              <w:t>надає</w:t>
            </w:r>
            <w:proofErr w:type="spellEnd"/>
            <w:r>
              <w:t xml:space="preserve"> </w:t>
            </w:r>
            <w:proofErr w:type="spellStart"/>
            <w:r>
              <w:t>наприкінці</w:t>
            </w:r>
            <w:proofErr w:type="spellEnd"/>
            <w:r>
              <w:t xml:space="preserve"> семестру, але не </w:t>
            </w:r>
            <w:proofErr w:type="spellStart"/>
            <w:r>
              <w:t>пізніше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модульного контролю.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виконання</w:t>
            </w:r>
            <w:proofErr w:type="spellEnd"/>
            <w:r>
              <w:t xml:space="preserve"> ІНДЗ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виставленні</w:t>
            </w:r>
            <w:proofErr w:type="spellEnd"/>
            <w:r>
              <w:t xml:space="preserve"> </w:t>
            </w:r>
            <w:proofErr w:type="spellStart"/>
            <w:r>
              <w:t>загальної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  <w:r>
              <w:t>.</w:t>
            </w:r>
          </w:p>
          <w:p w:rsidR="00101243" w:rsidRPr="00B86ED1" w:rsidRDefault="00101243" w:rsidP="00A21BF2">
            <w:pPr>
              <w:ind w:firstLine="540"/>
              <w:jc w:val="both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Письмова робота оцінюється максимум 30 балів.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</w:t>
            </w:r>
          </w:p>
        </w:tc>
        <w:tc>
          <w:tcPr>
            <w:tcW w:w="7760" w:type="dxa"/>
            <w:gridSpan w:val="9"/>
          </w:tcPr>
          <w:p w:rsidR="00101243" w:rsidRPr="00810232" w:rsidRDefault="00101243" w:rsidP="00A21BF2">
            <w:pPr>
              <w:jc w:val="both"/>
              <w:rPr>
                <w:color w:val="000000"/>
                <w:shd w:val="clear" w:color="auto" w:fill="FFFFFF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>На </w:t>
            </w:r>
            <w:proofErr w:type="spellStart"/>
            <w:r w:rsidRPr="00810232">
              <w:rPr>
                <w:bCs/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bCs/>
                <w:color w:val="000000"/>
                <w:shd w:val="clear" w:color="auto" w:fill="FFFFFF"/>
              </w:rPr>
              <w:t> 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оцінці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підлягають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рівень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знань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продемонстрований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у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виступах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активність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обговоренні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експрес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-контролю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.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Критеріями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при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усних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відповідях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можуть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бути: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повнота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розкриття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питання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логіка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викладення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впевненість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переконливість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культура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мови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використання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основної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та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додаткової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літератури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монографій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навчальних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посібників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журналів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інших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періодичних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видань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тощо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);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аналітичність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міркування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вміння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робити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порівняння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висновки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</w:p>
          <w:p w:rsidR="00101243" w:rsidRPr="00B86ED1" w:rsidRDefault="00101243" w:rsidP="00A21BF2">
            <w:pPr>
              <w:jc w:val="both"/>
              <w:rPr>
                <w:sz w:val="22"/>
                <w:szCs w:val="22"/>
                <w:lang w:val="uk-UA"/>
              </w:rPr>
            </w:pPr>
            <w:r w:rsidRPr="00810232">
              <w:rPr>
                <w:color w:val="000000"/>
                <w:shd w:val="clear" w:color="auto" w:fill="FFFFFF"/>
              </w:rPr>
              <w:t xml:space="preserve">Робота на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семінарських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заняттях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оцінюється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в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діапазоні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від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uk-UA"/>
              </w:rPr>
              <w:t>2</w:t>
            </w:r>
            <w:r w:rsidRPr="00810232">
              <w:rPr>
                <w:color w:val="000000"/>
                <w:shd w:val="clear" w:color="auto" w:fill="FFFFFF"/>
              </w:rPr>
              <w:t xml:space="preserve"> до 5 </w:t>
            </w:r>
            <w:proofErr w:type="spellStart"/>
            <w:r w:rsidRPr="00810232">
              <w:rPr>
                <w:color w:val="000000"/>
                <w:shd w:val="clear" w:color="auto" w:fill="FFFFFF"/>
              </w:rPr>
              <w:t>балів</w:t>
            </w:r>
            <w:proofErr w:type="spellEnd"/>
            <w:r w:rsidRPr="00810232">
              <w:rPr>
                <w:color w:val="000000"/>
                <w:shd w:val="clear" w:color="auto" w:fill="FFFFFF"/>
              </w:rPr>
              <w:t>.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При переведенні</w:t>
            </w:r>
            <w:r>
              <w:rPr>
                <w:color w:val="000000"/>
                <w:shd w:val="clear" w:color="auto" w:fill="FFFFFF"/>
                <w:lang w:val="uk-UA"/>
              </w:rPr>
              <w:t xml:space="preserve"> в бали сукупно можна набрати 50</w:t>
            </w:r>
            <w:r w:rsidRPr="00810232">
              <w:rPr>
                <w:color w:val="000000"/>
                <w:shd w:val="clear" w:color="auto" w:fill="FFFFFF"/>
                <w:lang w:val="uk-UA"/>
              </w:rPr>
              <w:t xml:space="preserve"> балів.</w:t>
            </w:r>
          </w:p>
        </w:tc>
      </w:tr>
      <w:tr w:rsidR="00101243" w:rsidRPr="00C67355" w:rsidTr="006325D4">
        <w:tc>
          <w:tcPr>
            <w:tcW w:w="1811" w:type="dxa"/>
            <w:gridSpan w:val="3"/>
          </w:tcPr>
          <w:p w:rsidR="00101243" w:rsidRPr="00050A44" w:rsidRDefault="00101243" w:rsidP="00A21BF2">
            <w:pPr>
              <w:pStyle w:val="2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A4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60" w:type="dxa"/>
            <w:gridSpan w:val="9"/>
          </w:tcPr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Належне виконання:</w:t>
            </w:r>
          </w:p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1) змісту питань планів семінарських занять</w:t>
            </w:r>
            <w:r>
              <w:rPr>
                <w:lang w:val="uk-UA"/>
              </w:rPr>
              <w:t xml:space="preserve"> (вересень – початок грудня 2020</w:t>
            </w:r>
            <w:r w:rsidRPr="00382BC1">
              <w:rPr>
                <w:lang w:val="uk-UA"/>
              </w:rPr>
              <w:t xml:space="preserve"> р.). Для цього необхідно готувати конспекти семінарських занять. Вітається якісна підготовка </w:t>
            </w:r>
            <w:proofErr w:type="spellStart"/>
            <w:r w:rsidRPr="00382BC1">
              <w:rPr>
                <w:lang w:val="uk-UA"/>
              </w:rPr>
              <w:t>візуалізованих</w:t>
            </w:r>
            <w:proofErr w:type="spellEnd"/>
            <w:r w:rsidRPr="00382BC1">
              <w:rPr>
                <w:lang w:val="uk-UA"/>
              </w:rPr>
              <w:t xml:space="preserve"> презентацій для відповідей на семінарські питання. </w:t>
            </w:r>
            <w:proofErr w:type="spellStart"/>
            <w:r w:rsidRPr="00382BC1">
              <w:rPr>
                <w:lang w:val="uk-UA"/>
              </w:rPr>
              <w:t>Візуалізувана</w:t>
            </w:r>
            <w:proofErr w:type="spellEnd"/>
            <w:r w:rsidRPr="00382BC1">
              <w:rPr>
                <w:lang w:val="uk-UA"/>
              </w:rPr>
              <w:t xml:space="preserve"> презентація на семінарське питання не повинна перевищувати 20 слайдів. Однак слід пам’ятати, що </w:t>
            </w:r>
            <w:proofErr w:type="spellStart"/>
            <w:r w:rsidRPr="00382BC1">
              <w:rPr>
                <w:lang w:val="uk-UA"/>
              </w:rPr>
              <w:t>візуалізована</w:t>
            </w:r>
            <w:proofErr w:type="spellEnd"/>
            <w:r w:rsidRPr="00382BC1">
              <w:rPr>
                <w:lang w:val="uk-UA"/>
              </w:rPr>
              <w:t xml:space="preserve"> презентація тільки доповнює підготовлену основну відповідь студента (-</w:t>
            </w:r>
            <w:proofErr w:type="spellStart"/>
            <w:r w:rsidRPr="00382BC1">
              <w:rPr>
                <w:lang w:val="uk-UA"/>
              </w:rPr>
              <w:t>ки</w:t>
            </w:r>
            <w:proofErr w:type="spellEnd"/>
            <w:r w:rsidRPr="00382BC1">
              <w:rPr>
                <w:lang w:val="uk-UA"/>
              </w:rPr>
              <w:t>).</w:t>
            </w:r>
          </w:p>
          <w:p w:rsidR="00101243" w:rsidRPr="00382BC1" w:rsidRDefault="00101243" w:rsidP="00A21BF2">
            <w:pPr>
              <w:jc w:val="both"/>
              <w:rPr>
                <w:lang w:val="uk-UA"/>
              </w:rPr>
            </w:pPr>
            <w:r w:rsidRPr="00382BC1">
              <w:rPr>
                <w:lang w:val="uk-UA"/>
              </w:rPr>
              <w:t>2) </w:t>
            </w:r>
            <w:r>
              <w:rPr>
                <w:lang w:val="uk-UA"/>
              </w:rPr>
              <w:t xml:space="preserve"> індивідуальної роботи</w:t>
            </w:r>
            <w:r w:rsidRPr="00382BC1">
              <w:rPr>
                <w:lang w:val="uk-UA"/>
              </w:rPr>
              <w:t xml:space="preserve"> протягом </w:t>
            </w:r>
            <w:r>
              <w:rPr>
                <w:lang w:val="uk-UA"/>
              </w:rPr>
              <w:t xml:space="preserve">жовтня 2020 </w:t>
            </w:r>
            <w:r w:rsidRPr="00382BC1">
              <w:rPr>
                <w:lang w:val="uk-UA"/>
              </w:rPr>
              <w:t xml:space="preserve">р. </w:t>
            </w:r>
          </w:p>
          <w:p w:rsidR="00101243" w:rsidRPr="00050A44" w:rsidRDefault="00101243" w:rsidP="00A21BF2">
            <w:pPr>
              <w:jc w:val="both"/>
              <w:rPr>
                <w:sz w:val="22"/>
                <w:szCs w:val="22"/>
                <w:lang w:val="uk-UA"/>
              </w:rPr>
            </w:pPr>
            <w:r w:rsidRPr="00382BC1">
              <w:rPr>
                <w:lang w:val="uk-UA"/>
              </w:rPr>
              <w:t xml:space="preserve">Студент (-ка) допускається до підсумкового контролю (іспиту – екзамен) </w:t>
            </w:r>
            <w:r>
              <w:rPr>
                <w:lang w:val="uk-UA"/>
              </w:rPr>
              <w:t>в січні 2020</w:t>
            </w:r>
            <w:r w:rsidRPr="00382BC1">
              <w:rPr>
                <w:lang w:val="uk-UA"/>
              </w:rPr>
              <w:t>р. за умови відпрацювання усі</w:t>
            </w:r>
            <w:r>
              <w:rPr>
                <w:lang w:val="uk-UA"/>
              </w:rPr>
              <w:t>х «заборгованостей» та набору 50</w:t>
            </w:r>
            <w:r w:rsidRPr="00382BC1">
              <w:rPr>
                <w:lang w:val="uk-UA"/>
              </w:rPr>
              <w:t xml:space="preserve"> і більше балів.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Pr="00483A45" w:rsidRDefault="00101243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lastRenderedPageBreak/>
              <w:t>8</w:t>
            </w:r>
            <w:r w:rsidRPr="00483A45">
              <w:rPr>
                <w:b/>
                <w:lang w:val="uk-UA"/>
              </w:rPr>
              <w:t>. Політика курсу</w:t>
            </w:r>
          </w:p>
        </w:tc>
      </w:tr>
      <w:tr w:rsidR="00101243" w:rsidRPr="00101243" w:rsidTr="006325D4">
        <w:tc>
          <w:tcPr>
            <w:tcW w:w="9571" w:type="dxa"/>
            <w:gridSpan w:val="12"/>
          </w:tcPr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дедлайнів</w:t>
            </w:r>
            <w:proofErr w:type="spellEnd"/>
            <w:r>
              <w:t xml:space="preserve"> та </w:t>
            </w:r>
            <w:proofErr w:type="spellStart"/>
            <w:r>
              <w:t>перескладання</w:t>
            </w:r>
            <w:proofErr w:type="spellEnd"/>
            <w:r>
              <w:t xml:space="preserve">: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здаються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порушенням</w:t>
            </w:r>
            <w:proofErr w:type="spellEnd"/>
            <w:r>
              <w:t xml:space="preserve"> </w:t>
            </w:r>
            <w:proofErr w:type="spellStart"/>
            <w:r>
              <w:t>термінів</w:t>
            </w:r>
            <w:proofErr w:type="spellEnd"/>
            <w:r>
              <w:t xml:space="preserve"> без </w:t>
            </w:r>
            <w:proofErr w:type="spellStart"/>
            <w:r>
              <w:t>поважних</w:t>
            </w:r>
            <w:proofErr w:type="spellEnd"/>
            <w:r>
              <w:t xml:space="preserve"> причин, </w:t>
            </w:r>
            <w:proofErr w:type="spellStart"/>
            <w:r>
              <w:t>оцінюються</w:t>
            </w:r>
            <w:proofErr w:type="spellEnd"/>
            <w:r>
              <w:t xml:space="preserve"> на </w:t>
            </w:r>
            <w:proofErr w:type="spellStart"/>
            <w:r>
              <w:t>нижчу</w:t>
            </w:r>
            <w:proofErr w:type="spellEnd"/>
            <w:r>
              <w:t xml:space="preserve"> </w:t>
            </w:r>
            <w:proofErr w:type="spellStart"/>
            <w:r>
              <w:t>оцінку</w:t>
            </w:r>
            <w:proofErr w:type="spellEnd"/>
            <w:r>
              <w:t xml:space="preserve">. </w:t>
            </w:r>
            <w:proofErr w:type="spellStart"/>
            <w:r>
              <w:t>Перескладання</w:t>
            </w:r>
            <w:proofErr w:type="spellEnd"/>
            <w:r>
              <w:t xml:space="preserve"> </w:t>
            </w:r>
            <w:proofErr w:type="spellStart"/>
            <w:r>
              <w:t>модулів</w:t>
            </w:r>
            <w:proofErr w:type="spellEnd"/>
            <w:r>
              <w:t xml:space="preserve"> </w:t>
            </w:r>
            <w:proofErr w:type="spellStart"/>
            <w:r>
              <w:t>відбувається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дозволу</w:t>
            </w:r>
            <w:proofErr w:type="spellEnd"/>
            <w:r>
              <w:t xml:space="preserve"> деканату за </w:t>
            </w:r>
            <w:proofErr w:type="spellStart"/>
            <w:r>
              <w:t>наявності</w:t>
            </w:r>
            <w:proofErr w:type="spellEnd"/>
            <w:r>
              <w:t xml:space="preserve"> </w:t>
            </w:r>
            <w:proofErr w:type="spellStart"/>
            <w:r>
              <w:t>поважних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</w:t>
            </w:r>
            <w:proofErr w:type="spellStart"/>
            <w:r>
              <w:t>лікарняний</w:t>
            </w:r>
            <w:proofErr w:type="spellEnd"/>
            <w:r>
              <w:t xml:space="preserve">). </w:t>
            </w:r>
          </w:p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lang w:val="uk-UA"/>
              </w:rPr>
            </w:pPr>
            <w:proofErr w:type="spellStart"/>
            <w:r>
              <w:t>Політика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: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письмові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перевіряються</w:t>
            </w:r>
            <w:proofErr w:type="spellEnd"/>
            <w:r>
              <w:t xml:space="preserve"> на </w:t>
            </w:r>
            <w:proofErr w:type="spellStart"/>
            <w:r>
              <w:t>наявність</w:t>
            </w:r>
            <w:proofErr w:type="spellEnd"/>
            <w:r>
              <w:t xml:space="preserve"> </w:t>
            </w:r>
            <w:proofErr w:type="spellStart"/>
            <w:r>
              <w:t>плагіату</w:t>
            </w:r>
            <w:proofErr w:type="spellEnd"/>
            <w:r>
              <w:t xml:space="preserve"> і </w:t>
            </w:r>
            <w:proofErr w:type="spellStart"/>
            <w:r>
              <w:t>допускаються</w:t>
            </w:r>
            <w:proofErr w:type="spellEnd"/>
            <w:r>
              <w:t xml:space="preserve"> до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коректними</w:t>
            </w:r>
            <w:proofErr w:type="spellEnd"/>
            <w:r>
              <w:t xml:space="preserve"> </w:t>
            </w:r>
            <w:proofErr w:type="spellStart"/>
            <w:r>
              <w:t>текстовими</w:t>
            </w:r>
            <w:proofErr w:type="spellEnd"/>
            <w:r>
              <w:t xml:space="preserve"> </w:t>
            </w:r>
            <w:proofErr w:type="spellStart"/>
            <w:r>
              <w:t>запозиченнями</w:t>
            </w:r>
            <w:proofErr w:type="spellEnd"/>
            <w:r>
              <w:t xml:space="preserve"> не </w:t>
            </w:r>
            <w:proofErr w:type="spellStart"/>
            <w:r>
              <w:t>більше</w:t>
            </w:r>
            <w:proofErr w:type="spellEnd"/>
            <w:r>
              <w:t xml:space="preserve"> 20%. </w:t>
            </w:r>
            <w:proofErr w:type="spellStart"/>
            <w:r>
              <w:t>Списування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контрольних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та </w:t>
            </w:r>
            <w:proofErr w:type="spellStart"/>
            <w:r>
              <w:t>екзаменів</w:t>
            </w:r>
            <w:proofErr w:type="spellEnd"/>
            <w:r>
              <w:t xml:space="preserve"> </w:t>
            </w:r>
            <w:proofErr w:type="spellStart"/>
            <w:r>
              <w:t>заборонені</w:t>
            </w:r>
            <w:proofErr w:type="spellEnd"/>
            <w:r>
              <w:t xml:space="preserve"> (в </w:t>
            </w:r>
            <w:proofErr w:type="spellStart"/>
            <w:r>
              <w:t>т.ч</w:t>
            </w:r>
            <w:proofErr w:type="spellEnd"/>
            <w:r>
              <w:t xml:space="preserve">.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використанням</w:t>
            </w:r>
            <w:proofErr w:type="spellEnd"/>
            <w:r>
              <w:t xml:space="preserve"> </w:t>
            </w:r>
            <w:proofErr w:type="spellStart"/>
            <w:r>
              <w:t>мобільних</w:t>
            </w:r>
            <w:proofErr w:type="spellEnd"/>
            <w:r>
              <w:t xml:space="preserve"> 4 </w:t>
            </w:r>
            <w:proofErr w:type="spellStart"/>
            <w:r>
              <w:t>пристроїв</w:t>
            </w:r>
            <w:proofErr w:type="spellEnd"/>
            <w:r>
              <w:t xml:space="preserve">). </w:t>
            </w:r>
          </w:p>
          <w:p w:rsidR="00101243" w:rsidRPr="00F62931" w:rsidRDefault="00101243" w:rsidP="00101243">
            <w:pPr>
              <w:pStyle w:val="a5"/>
              <w:numPr>
                <w:ilvl w:val="0"/>
                <w:numId w:val="9"/>
              </w:numPr>
              <w:jc w:val="both"/>
              <w:rPr>
                <w:sz w:val="22"/>
                <w:szCs w:val="22"/>
                <w:lang w:val="uk-UA"/>
              </w:rPr>
            </w:pPr>
            <w:r w:rsidRPr="00F62931">
              <w:rPr>
                <w:lang w:val="uk-UA"/>
              </w:rPr>
              <w:t xml:space="preserve">Політика щодо відвідування: Відвідування занять є обов’язковим компонентом оцінювання, за яке нараховуються бали. </w:t>
            </w:r>
            <w:r>
              <w:t xml:space="preserve">За </w:t>
            </w:r>
            <w:proofErr w:type="spellStart"/>
            <w:r>
              <w:t>об’єктивних</w:t>
            </w:r>
            <w:proofErr w:type="spellEnd"/>
            <w:r>
              <w:t xml:space="preserve"> причин (</w:t>
            </w:r>
            <w:proofErr w:type="spellStart"/>
            <w:r>
              <w:t>наприклад</w:t>
            </w:r>
            <w:proofErr w:type="spellEnd"/>
            <w:r>
              <w:t xml:space="preserve">, хвороба, </w:t>
            </w:r>
            <w:proofErr w:type="spellStart"/>
            <w:r>
              <w:t>міжнародне</w:t>
            </w:r>
            <w:proofErr w:type="spellEnd"/>
            <w:r>
              <w:t xml:space="preserve"> </w:t>
            </w:r>
            <w:proofErr w:type="spellStart"/>
            <w:r>
              <w:t>стажування</w:t>
            </w:r>
            <w:proofErr w:type="spellEnd"/>
            <w:r>
              <w:t xml:space="preserve">)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відбуватись</w:t>
            </w:r>
            <w:proofErr w:type="spellEnd"/>
            <w:r>
              <w:t xml:space="preserve"> в </w:t>
            </w:r>
            <w:proofErr w:type="gramStart"/>
            <w:r>
              <w:t>он-</w:t>
            </w:r>
            <w:proofErr w:type="spellStart"/>
            <w:r>
              <w:t>лайн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формі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керівником</w:t>
            </w:r>
            <w:proofErr w:type="spellEnd"/>
            <w:r>
              <w:t xml:space="preserve"> курсу.</w:t>
            </w:r>
          </w:p>
          <w:p w:rsidR="00101243" w:rsidRDefault="00101243" w:rsidP="00101243">
            <w:pPr>
              <w:jc w:val="both"/>
              <w:rPr>
                <w:lang w:val="uk-UA"/>
              </w:rPr>
            </w:pPr>
            <w:r>
              <w:t xml:space="preserve">Курс </w:t>
            </w:r>
            <w:proofErr w:type="spellStart"/>
            <w:r>
              <w:t>передбачає</w:t>
            </w:r>
            <w:proofErr w:type="spellEnd"/>
            <w:r>
              <w:t xml:space="preserve"> роботу в </w:t>
            </w:r>
            <w:proofErr w:type="spellStart"/>
            <w:r>
              <w:t>колективі</w:t>
            </w:r>
            <w:proofErr w:type="spellEnd"/>
            <w:r>
              <w:t xml:space="preserve">. </w:t>
            </w:r>
            <w:proofErr w:type="spellStart"/>
            <w:r>
              <w:t>Середовище</w:t>
            </w:r>
            <w:proofErr w:type="spellEnd"/>
            <w:r>
              <w:t xml:space="preserve"> в </w:t>
            </w:r>
            <w:proofErr w:type="spellStart"/>
            <w:r>
              <w:t>аудиторії</w:t>
            </w:r>
            <w:proofErr w:type="spellEnd"/>
            <w:r>
              <w:t xml:space="preserve"> є </w:t>
            </w:r>
            <w:proofErr w:type="spellStart"/>
            <w:r>
              <w:t>дружнім</w:t>
            </w:r>
            <w:proofErr w:type="spellEnd"/>
            <w:r>
              <w:t xml:space="preserve">, </w:t>
            </w:r>
            <w:proofErr w:type="spellStart"/>
            <w:r>
              <w:t>творчим</w:t>
            </w:r>
            <w:proofErr w:type="spellEnd"/>
            <w:r>
              <w:t xml:space="preserve">, </w:t>
            </w:r>
            <w:proofErr w:type="spellStart"/>
            <w:r>
              <w:t>відкритим</w:t>
            </w:r>
            <w:proofErr w:type="spellEnd"/>
            <w:r>
              <w:t xml:space="preserve"> до </w:t>
            </w:r>
            <w:proofErr w:type="spellStart"/>
            <w:r>
              <w:t>конструктивної</w:t>
            </w:r>
            <w:proofErr w:type="spellEnd"/>
            <w:r>
              <w:t xml:space="preserve"> критики. </w:t>
            </w:r>
            <w:proofErr w:type="spellStart"/>
            <w:r>
              <w:t>Усі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,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виконані</w:t>
            </w:r>
            <w:proofErr w:type="spellEnd"/>
            <w:r>
              <w:t xml:space="preserve"> у </w:t>
            </w:r>
            <w:proofErr w:type="spellStart"/>
            <w:r>
              <w:t>встановлений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роботи</w:t>
            </w:r>
            <w:proofErr w:type="spellEnd"/>
            <w:r>
              <w:t xml:space="preserve"> над </w:t>
            </w:r>
            <w:proofErr w:type="spellStart"/>
            <w:r>
              <w:t>завданнями</w:t>
            </w:r>
            <w:proofErr w:type="spellEnd"/>
            <w:r>
              <w:t xml:space="preserve"> не допустимо </w:t>
            </w:r>
            <w:proofErr w:type="spellStart"/>
            <w:r>
              <w:t>порушення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доброчесності</w:t>
            </w:r>
            <w:proofErr w:type="spellEnd"/>
            <w:r>
              <w:t xml:space="preserve">. </w:t>
            </w:r>
            <w:proofErr w:type="spellStart"/>
            <w:r>
              <w:t>Презентації</w:t>
            </w:r>
            <w:proofErr w:type="spellEnd"/>
            <w:r>
              <w:t xml:space="preserve"> та </w:t>
            </w:r>
            <w:proofErr w:type="spellStart"/>
            <w:r>
              <w:t>доповіді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бути </w:t>
            </w:r>
            <w:proofErr w:type="spellStart"/>
            <w:r>
              <w:t>авторськими</w:t>
            </w:r>
            <w:proofErr w:type="spellEnd"/>
            <w:r>
              <w:t xml:space="preserve"> </w:t>
            </w:r>
            <w:proofErr w:type="spellStart"/>
            <w:r>
              <w:t>оригінальними</w:t>
            </w:r>
            <w:proofErr w:type="spellEnd"/>
            <w:r>
              <w:t>.</w:t>
            </w:r>
          </w:p>
          <w:p w:rsidR="00101243" w:rsidRPr="00483A45" w:rsidRDefault="00101243" w:rsidP="00101243">
            <w:pPr>
              <w:jc w:val="both"/>
              <w:rPr>
                <w:lang w:val="uk-UA"/>
              </w:rPr>
            </w:pPr>
            <w:r w:rsidRPr="003A1A09">
              <w:rPr>
                <w:lang w:val="uk-UA"/>
              </w:rPr>
              <w:t>Можливе зарахування результатів неформальної освіти у відповідності з про порядок зарахування результатів неформальної освіти у ДВНЗ «Прикарпатський національний університет</w:t>
            </w:r>
            <w:r>
              <w:rPr>
                <w:lang w:val="uk-UA"/>
              </w:rPr>
              <w:t xml:space="preserve"> </w:t>
            </w:r>
            <w:r w:rsidRPr="003A1A09">
              <w:rPr>
                <w:sz w:val="22"/>
                <w:szCs w:val="22"/>
                <w:lang w:val="uk-UA"/>
              </w:rPr>
              <w:t>імені Василя Стефаника»</w:t>
            </w:r>
            <w:r>
              <w:rPr>
                <w:lang w:val="uk-UA"/>
              </w:rPr>
              <w:t>..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Pr="00151BC4" w:rsidRDefault="00101243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9.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01243" w:rsidRPr="00C67355" w:rsidTr="006325D4">
        <w:tc>
          <w:tcPr>
            <w:tcW w:w="9571" w:type="dxa"/>
            <w:gridSpan w:val="12"/>
          </w:tcPr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Євтух</w:t>
            </w:r>
            <w:proofErr w:type="spellEnd"/>
            <w:r>
              <w:rPr>
                <w:lang w:val="uk-UA"/>
              </w:rPr>
              <w:t xml:space="preserve"> В. До проблеми визначення поняття “етнічна меншина” \\ Етнічні меншини Сх. та Центральної Європи. – К., 1994. – С.14-30.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Гекманн</w:t>
            </w:r>
            <w:proofErr w:type="spellEnd"/>
            <w:r>
              <w:rPr>
                <w:lang w:val="uk-UA"/>
              </w:rPr>
              <w:t xml:space="preserve"> Ф. Формування сучасного значення </w:t>
            </w:r>
            <w:proofErr w:type="spellStart"/>
            <w:r>
              <w:rPr>
                <w:lang w:val="uk-UA"/>
              </w:rPr>
              <w:t>етнічності</w:t>
            </w:r>
            <w:proofErr w:type="spellEnd"/>
            <w:r>
              <w:rPr>
                <w:lang w:val="uk-UA"/>
              </w:rPr>
              <w:t xml:space="preserve"> та виникнення етнічних меншин у процесі утворення національних держав \\ Етнічні меншини. – С.31-37.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proofErr w:type="spellStart"/>
            <w:r>
              <w:rPr>
                <w:lang w:val="uk-UA"/>
              </w:rPr>
              <w:t>Нельга</w:t>
            </w:r>
            <w:proofErr w:type="spellEnd"/>
            <w:r>
              <w:rPr>
                <w:lang w:val="uk-UA"/>
              </w:rPr>
              <w:t xml:space="preserve"> О. Етнічні меншини у проблемному полі етнологічних досліджень \\ Етнічні меншини. – С. 172-180. </w:t>
            </w:r>
          </w:p>
          <w:p w:rsidR="00101243" w:rsidRDefault="00101243" w:rsidP="00101243">
            <w:pPr>
              <w:numPr>
                <w:ilvl w:val="0"/>
                <w:numId w:val="10"/>
              </w:numPr>
              <w:rPr>
                <w:lang w:val="uk-UA"/>
              </w:rPr>
            </w:pPr>
            <w:r>
              <w:rPr>
                <w:lang w:val="uk-UA"/>
              </w:rPr>
              <w:t xml:space="preserve">Курас І. </w:t>
            </w:r>
            <w:proofErr w:type="spellStart"/>
            <w:r>
              <w:rPr>
                <w:lang w:val="uk-UA"/>
              </w:rPr>
              <w:t>Кримсько</w:t>
            </w:r>
            <w:proofErr w:type="spellEnd"/>
            <w:r>
              <w:rPr>
                <w:lang w:val="uk-UA"/>
              </w:rPr>
              <w:t xml:space="preserve">-татарська проблема в контексті сучасної </w:t>
            </w:r>
            <w:proofErr w:type="spellStart"/>
            <w:r>
              <w:rPr>
                <w:lang w:val="uk-UA"/>
              </w:rPr>
              <w:t>етнополітичної</w:t>
            </w:r>
            <w:proofErr w:type="spellEnd"/>
            <w:r>
              <w:rPr>
                <w:lang w:val="uk-UA"/>
              </w:rPr>
              <w:t xml:space="preserve"> ситуації в Україні \\ Етнічні меншини. – С.108-115.</w:t>
            </w:r>
          </w:p>
          <w:p w:rsidR="00101243" w:rsidRPr="00C67355" w:rsidRDefault="00101243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proofErr w:type="spellStart"/>
      <w:r w:rsidR="00C735C2">
        <w:rPr>
          <w:b/>
          <w:sz w:val="28"/>
          <w:szCs w:val="28"/>
          <w:lang w:val="uk-UA"/>
        </w:rPr>
        <w:t>Монолатій</w:t>
      </w:r>
      <w:proofErr w:type="spellEnd"/>
      <w:r w:rsidR="00C735C2">
        <w:rPr>
          <w:b/>
          <w:sz w:val="28"/>
          <w:szCs w:val="28"/>
          <w:lang w:val="uk-UA"/>
        </w:rPr>
        <w:t xml:space="preserve"> І.С.</w:t>
      </w:r>
      <w:bookmarkStart w:id="0" w:name="_GoBack"/>
      <w:bookmarkEnd w:id="0"/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EBB1BB3"/>
    <w:multiLevelType w:val="multilevel"/>
    <w:tmpl w:val="B0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63D47D82"/>
    <w:multiLevelType w:val="hybridMultilevel"/>
    <w:tmpl w:val="F17847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0304AA"/>
    <w:multiLevelType w:val="hybridMultilevel"/>
    <w:tmpl w:val="2C869F4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AF5AB5"/>
    <w:multiLevelType w:val="multilevel"/>
    <w:tmpl w:val="1CA0A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013"/>
    <w:rsid w:val="00071F79"/>
    <w:rsid w:val="00072283"/>
    <w:rsid w:val="000C46E3"/>
    <w:rsid w:val="00101243"/>
    <w:rsid w:val="001039A3"/>
    <w:rsid w:val="00151BC4"/>
    <w:rsid w:val="00193CEB"/>
    <w:rsid w:val="00230E39"/>
    <w:rsid w:val="00254871"/>
    <w:rsid w:val="00286614"/>
    <w:rsid w:val="002C2330"/>
    <w:rsid w:val="00335A19"/>
    <w:rsid w:val="003636F1"/>
    <w:rsid w:val="00373614"/>
    <w:rsid w:val="00395013"/>
    <w:rsid w:val="00483A45"/>
    <w:rsid w:val="004F7AFF"/>
    <w:rsid w:val="006325D4"/>
    <w:rsid w:val="00654CF9"/>
    <w:rsid w:val="006A14B2"/>
    <w:rsid w:val="00784AB3"/>
    <w:rsid w:val="0084333C"/>
    <w:rsid w:val="008A1B87"/>
    <w:rsid w:val="009506C9"/>
    <w:rsid w:val="0095499A"/>
    <w:rsid w:val="009A2779"/>
    <w:rsid w:val="00A012CD"/>
    <w:rsid w:val="00A402FD"/>
    <w:rsid w:val="00AB324B"/>
    <w:rsid w:val="00AC76DC"/>
    <w:rsid w:val="00B10A22"/>
    <w:rsid w:val="00B93336"/>
    <w:rsid w:val="00B94F0E"/>
    <w:rsid w:val="00BC32A7"/>
    <w:rsid w:val="00C67355"/>
    <w:rsid w:val="00C735C2"/>
    <w:rsid w:val="00C81B4F"/>
    <w:rsid w:val="00CA1BE2"/>
    <w:rsid w:val="00D74B80"/>
    <w:rsid w:val="00DB2888"/>
    <w:rsid w:val="00EE1819"/>
    <w:rsid w:val="00EE4289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2510D1"/>
  <w15:docId w15:val="{5DF94950-E889-4280-A7A3-01B7EDD6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uiPriority w:val="99"/>
    <w:unhideWhenUsed/>
    <w:rsid w:val="00B94F0E"/>
    <w:rPr>
      <w:color w:val="0000FF"/>
      <w:u w:val="single"/>
    </w:rPr>
  </w:style>
  <w:style w:type="paragraph" w:styleId="3">
    <w:name w:val="Body Text Indent 3"/>
    <w:basedOn w:val="a"/>
    <w:link w:val="30"/>
    <w:semiHidden/>
    <w:unhideWhenUsed/>
    <w:rsid w:val="00230E3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230E39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Default">
    <w:name w:val="Default"/>
    <w:rsid w:val="00230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6325D4"/>
    <w:pPr>
      <w:spacing w:before="100" w:beforeAutospacing="1" w:after="100" w:afterAutospacing="1"/>
    </w:pPr>
    <w:rPr>
      <w:lang w:val="uk-UA" w:eastAsia="uk-UA"/>
    </w:rPr>
  </w:style>
  <w:style w:type="character" w:styleId="aa">
    <w:name w:val="Emphasis"/>
    <w:basedOn w:val="a0"/>
    <w:uiPriority w:val="20"/>
    <w:qFormat/>
    <w:rsid w:val="006325D4"/>
    <w:rPr>
      <w:i/>
      <w:iCs/>
    </w:rPr>
  </w:style>
  <w:style w:type="paragraph" w:styleId="ab">
    <w:name w:val="Body Text"/>
    <w:basedOn w:val="a"/>
    <w:link w:val="ac"/>
    <w:semiHidden/>
    <w:unhideWhenUsed/>
    <w:rsid w:val="00A012CD"/>
    <w:pPr>
      <w:spacing w:after="120"/>
    </w:pPr>
  </w:style>
  <w:style w:type="character" w:customStyle="1" w:styleId="ac">
    <w:name w:val="Основной текст Знак"/>
    <w:basedOn w:val="a0"/>
    <w:link w:val="ab"/>
    <w:semiHidden/>
    <w:rsid w:val="00A012C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Title"/>
    <w:basedOn w:val="a"/>
    <w:next w:val="a"/>
    <w:link w:val="ae"/>
    <w:uiPriority w:val="10"/>
    <w:qFormat/>
    <w:rsid w:val="00A012C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Заголовок Знак"/>
    <w:basedOn w:val="a0"/>
    <w:link w:val="ad"/>
    <w:uiPriority w:val="10"/>
    <w:rsid w:val="00A012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paragraph" w:styleId="af">
    <w:name w:val="No Spacing"/>
    <w:uiPriority w:val="1"/>
    <w:qFormat/>
    <w:rsid w:val="00A012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">
    <w:name w:val="Обычный2"/>
    <w:rsid w:val="00101243"/>
    <w:pPr>
      <w:spacing w:after="0"/>
    </w:pPr>
    <w:rPr>
      <w:rFonts w:ascii="Arial" w:eastAsia="Arial" w:hAnsi="Arial" w:cs="Arial"/>
      <w:lang w:eastAsia="uk-UA"/>
    </w:rPr>
  </w:style>
  <w:style w:type="paragraph" w:customStyle="1" w:styleId="paragraph">
    <w:name w:val="paragraph"/>
    <w:basedOn w:val="a"/>
    <w:rsid w:val="00101243"/>
    <w:pPr>
      <w:spacing w:after="294"/>
      <w:ind w:firstLine="73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0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7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9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g.yakaboo.ua/media/mediagallery/pdf/1/1/111_63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194.44.152.155/elib/local/r327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.monolatii@pnu.edu.ua" TargetMode="External"/><Relationship Id="rId11" Type="http://schemas.openxmlformats.org/officeDocument/2006/relationships/hyperlink" Target="http://litopys.org.ua/smith/smg.ht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ib.nplu.org/object.html?id=926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.nplu.org/object.html?id=92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D1A83-B0A5-4E78-B597-6E81FFDC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15269</Words>
  <Characters>8704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оксана липчук</cp:lastModifiedBy>
  <cp:revision>3</cp:revision>
  <cp:lastPrinted>2020-10-13T06:35:00Z</cp:lastPrinted>
  <dcterms:created xsi:type="dcterms:W3CDTF">2022-04-03T14:34:00Z</dcterms:created>
  <dcterms:modified xsi:type="dcterms:W3CDTF">2022-04-03T14:37:00Z</dcterms:modified>
</cp:coreProperties>
</file>