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95662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4DE3DC92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3991A754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23CD16A3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DEA2BE2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6BA22735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6C71F9A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601440D1" w14:textId="77777777" w:rsidR="00395013" w:rsidRPr="00CE5CA0" w:rsidRDefault="006465A0" w:rsidP="00395013">
      <w:pPr>
        <w:jc w:val="center"/>
        <w:rPr>
          <w:b/>
          <w:sz w:val="28"/>
          <w:szCs w:val="28"/>
          <w:highlight w:val="yellow"/>
          <w:lang w:val="uk-UA"/>
        </w:rPr>
      </w:pPr>
      <w:r w:rsidRPr="00CE5CA0">
        <w:rPr>
          <w:sz w:val="28"/>
          <w:szCs w:val="28"/>
          <w:highlight w:val="yellow"/>
          <w:lang w:val="uk-UA"/>
        </w:rPr>
        <w:t>Фізико-технічний факультет</w:t>
      </w:r>
    </w:p>
    <w:p w14:paraId="04078505" w14:textId="77777777" w:rsidR="00395013" w:rsidRPr="00CE5CA0" w:rsidRDefault="00395013" w:rsidP="00395013">
      <w:pPr>
        <w:jc w:val="center"/>
        <w:rPr>
          <w:b/>
          <w:sz w:val="28"/>
          <w:szCs w:val="28"/>
          <w:highlight w:val="yellow"/>
          <w:lang w:val="uk-UA"/>
        </w:rPr>
      </w:pPr>
    </w:p>
    <w:p w14:paraId="2F86C44B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  <w:r w:rsidRPr="00CE5CA0">
        <w:rPr>
          <w:sz w:val="28"/>
          <w:szCs w:val="28"/>
          <w:highlight w:val="yellow"/>
          <w:lang w:val="uk-UA"/>
        </w:rPr>
        <w:t xml:space="preserve">Кафедра </w:t>
      </w:r>
      <w:r w:rsidR="006465A0" w:rsidRPr="00CE5CA0">
        <w:rPr>
          <w:sz w:val="28"/>
          <w:szCs w:val="28"/>
          <w:highlight w:val="yellow"/>
          <w:lang w:val="uk-UA"/>
        </w:rPr>
        <w:t>фізики і хімії твердого тіла</w:t>
      </w:r>
    </w:p>
    <w:p w14:paraId="602542EB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0850AC4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5AFAA910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5D34BCED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B40C270" w14:textId="3F0EF3A0" w:rsidR="00395013" w:rsidRDefault="00976DD6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976DD6">
        <w:rPr>
          <w:b/>
          <w:bCs/>
          <w:color w:val="000000"/>
          <w:spacing w:val="-13"/>
          <w:sz w:val="44"/>
          <w:szCs w:val="44"/>
          <w:lang w:val="uk-UA"/>
        </w:rPr>
        <w:t>Управління науково-дослідницькими  проектами</w:t>
      </w:r>
    </w:p>
    <w:p w14:paraId="0E702393" w14:textId="77777777"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7F116C8E" w14:textId="4263C184" w:rsidR="00395013" w:rsidRPr="00212374" w:rsidRDefault="00B93336" w:rsidP="00B93336">
      <w:pPr>
        <w:rPr>
          <w:sz w:val="28"/>
          <w:szCs w:val="28"/>
          <w:highlight w:val="cyan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 w:rsidRPr="00212374">
        <w:rPr>
          <w:sz w:val="28"/>
          <w:szCs w:val="28"/>
          <w:highlight w:val="cyan"/>
          <w:lang w:val="uk-UA"/>
        </w:rPr>
        <w:t>Освітн</w:t>
      </w:r>
      <w:r w:rsidR="00212374" w:rsidRPr="00212374">
        <w:rPr>
          <w:sz w:val="28"/>
          <w:szCs w:val="28"/>
          <w:highlight w:val="cyan"/>
          <w:lang w:val="uk-UA"/>
        </w:rPr>
        <w:t>ьо-наукова</w:t>
      </w:r>
      <w:r w:rsidR="00B10A22" w:rsidRPr="00212374">
        <w:rPr>
          <w:sz w:val="28"/>
          <w:szCs w:val="28"/>
          <w:highlight w:val="cyan"/>
          <w:lang w:val="uk-UA"/>
        </w:rPr>
        <w:t xml:space="preserve"> </w:t>
      </w:r>
      <w:r w:rsidR="00C67355" w:rsidRPr="00212374">
        <w:rPr>
          <w:sz w:val="28"/>
          <w:szCs w:val="28"/>
          <w:highlight w:val="cyan"/>
        </w:rPr>
        <w:t>про</w:t>
      </w:r>
      <w:r w:rsidR="00B10A22" w:rsidRPr="00212374">
        <w:rPr>
          <w:sz w:val="28"/>
          <w:szCs w:val="28"/>
          <w:highlight w:val="cyan"/>
          <w:lang w:val="uk-UA"/>
        </w:rPr>
        <w:t xml:space="preserve">грама </w:t>
      </w:r>
      <w:r w:rsidR="00760833" w:rsidRPr="00212374">
        <w:rPr>
          <w:sz w:val="28"/>
          <w:szCs w:val="28"/>
          <w:highlight w:val="cyan"/>
          <w:u w:val="single"/>
          <w:lang w:val="uk-UA"/>
        </w:rPr>
        <w:t>«</w:t>
      </w:r>
      <w:r w:rsidR="00212374" w:rsidRPr="00212374">
        <w:rPr>
          <w:sz w:val="28"/>
          <w:szCs w:val="28"/>
          <w:highlight w:val="cyan"/>
          <w:u w:val="single"/>
          <w:lang w:val="uk-UA"/>
        </w:rPr>
        <w:t>Філософія</w:t>
      </w:r>
      <w:r w:rsidR="00760833" w:rsidRPr="00212374">
        <w:rPr>
          <w:sz w:val="28"/>
          <w:szCs w:val="28"/>
          <w:highlight w:val="cyan"/>
          <w:u w:val="single"/>
          <w:lang w:val="uk-UA"/>
        </w:rPr>
        <w:t>»</w:t>
      </w:r>
    </w:p>
    <w:p w14:paraId="5A7E7F97" w14:textId="77777777" w:rsidR="00B10A22" w:rsidRPr="00212374" w:rsidRDefault="00B10A22" w:rsidP="00395013">
      <w:pPr>
        <w:jc w:val="center"/>
        <w:rPr>
          <w:sz w:val="28"/>
          <w:szCs w:val="28"/>
          <w:highlight w:val="cyan"/>
          <w:lang w:val="uk-UA"/>
        </w:rPr>
      </w:pPr>
    </w:p>
    <w:p w14:paraId="41F1B55F" w14:textId="01338843" w:rsidR="00B10A22" w:rsidRPr="00212374" w:rsidRDefault="00B93336" w:rsidP="00B93336">
      <w:pPr>
        <w:rPr>
          <w:sz w:val="28"/>
          <w:szCs w:val="28"/>
          <w:highlight w:val="cyan"/>
          <w:lang w:val="uk-UA"/>
        </w:rPr>
      </w:pPr>
      <w:r w:rsidRPr="00212374">
        <w:rPr>
          <w:sz w:val="28"/>
          <w:szCs w:val="28"/>
          <w:highlight w:val="cyan"/>
          <w:lang w:val="uk-UA"/>
        </w:rPr>
        <w:t xml:space="preserve">                           </w:t>
      </w:r>
      <w:r w:rsidR="00B10A22" w:rsidRPr="00212374">
        <w:rPr>
          <w:sz w:val="28"/>
          <w:szCs w:val="28"/>
          <w:highlight w:val="cyan"/>
          <w:lang w:val="uk-UA"/>
        </w:rPr>
        <w:t xml:space="preserve">Спеціальність </w:t>
      </w:r>
      <w:r w:rsidR="00760833" w:rsidRPr="00212374">
        <w:rPr>
          <w:sz w:val="28"/>
          <w:szCs w:val="28"/>
          <w:highlight w:val="cyan"/>
          <w:u w:val="single"/>
          <w:lang w:val="uk-UA"/>
        </w:rPr>
        <w:t>0</w:t>
      </w:r>
      <w:r w:rsidR="00212374" w:rsidRPr="00212374">
        <w:rPr>
          <w:sz w:val="28"/>
          <w:szCs w:val="28"/>
          <w:highlight w:val="cyan"/>
          <w:u w:val="single"/>
          <w:lang w:val="uk-UA"/>
        </w:rPr>
        <w:t>33</w:t>
      </w:r>
      <w:r w:rsidR="00760833" w:rsidRPr="00212374">
        <w:rPr>
          <w:sz w:val="28"/>
          <w:szCs w:val="28"/>
          <w:highlight w:val="cyan"/>
          <w:u w:val="single"/>
          <w:lang w:val="uk-UA"/>
        </w:rPr>
        <w:t xml:space="preserve"> </w:t>
      </w:r>
      <w:r w:rsidR="00212374" w:rsidRPr="00212374">
        <w:rPr>
          <w:sz w:val="28"/>
          <w:szCs w:val="28"/>
          <w:highlight w:val="cyan"/>
          <w:u w:val="single"/>
          <w:lang w:val="uk-UA"/>
        </w:rPr>
        <w:t>Філософія</w:t>
      </w:r>
    </w:p>
    <w:p w14:paraId="70C7DE77" w14:textId="77777777" w:rsidR="00B10A22" w:rsidRPr="00212374" w:rsidRDefault="00B10A22" w:rsidP="00395013">
      <w:pPr>
        <w:jc w:val="center"/>
        <w:rPr>
          <w:sz w:val="28"/>
          <w:szCs w:val="28"/>
          <w:highlight w:val="cyan"/>
          <w:lang w:val="uk-UA"/>
        </w:rPr>
      </w:pPr>
    </w:p>
    <w:p w14:paraId="3EAE7D15" w14:textId="7E3D30E5" w:rsidR="00B10A22" w:rsidRDefault="00B93336" w:rsidP="00B93336">
      <w:pPr>
        <w:rPr>
          <w:sz w:val="28"/>
          <w:szCs w:val="28"/>
          <w:lang w:val="uk-UA"/>
        </w:rPr>
      </w:pPr>
      <w:r w:rsidRPr="00212374">
        <w:rPr>
          <w:sz w:val="28"/>
          <w:szCs w:val="28"/>
          <w:highlight w:val="cyan"/>
          <w:lang w:val="uk-UA"/>
        </w:rPr>
        <w:t xml:space="preserve">                           </w:t>
      </w:r>
      <w:r w:rsidR="00B10A22" w:rsidRPr="00212374">
        <w:rPr>
          <w:sz w:val="28"/>
          <w:szCs w:val="28"/>
          <w:highlight w:val="cyan"/>
          <w:lang w:val="uk-UA"/>
        </w:rPr>
        <w:t xml:space="preserve">Галузь знань </w:t>
      </w:r>
      <w:r w:rsidR="00760833" w:rsidRPr="00212374">
        <w:rPr>
          <w:sz w:val="28"/>
          <w:szCs w:val="28"/>
          <w:highlight w:val="cyan"/>
          <w:u w:val="single"/>
          <w:lang w:val="uk-UA"/>
        </w:rPr>
        <w:t>0</w:t>
      </w:r>
      <w:r w:rsidR="00212374" w:rsidRPr="00212374">
        <w:rPr>
          <w:sz w:val="28"/>
          <w:szCs w:val="28"/>
          <w:highlight w:val="cyan"/>
          <w:u w:val="single"/>
          <w:lang w:val="uk-UA"/>
        </w:rPr>
        <w:t>3</w:t>
      </w:r>
      <w:r w:rsidR="00760833" w:rsidRPr="00212374">
        <w:rPr>
          <w:sz w:val="28"/>
          <w:szCs w:val="28"/>
          <w:highlight w:val="cyan"/>
          <w:u w:val="single"/>
          <w:lang w:val="uk-UA"/>
        </w:rPr>
        <w:t xml:space="preserve"> </w:t>
      </w:r>
      <w:r w:rsidR="00212374" w:rsidRPr="00212374">
        <w:rPr>
          <w:sz w:val="28"/>
          <w:szCs w:val="28"/>
          <w:highlight w:val="cyan"/>
          <w:u w:val="single"/>
          <w:lang w:val="uk-UA"/>
        </w:rPr>
        <w:t>Гуманітарні науки</w:t>
      </w:r>
    </w:p>
    <w:p w14:paraId="4701603A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AD5637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0756AB20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22EF8FA4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5B665613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0010C65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3452AF9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Затверджено на засіданні </w:t>
      </w:r>
      <w:r w:rsidRPr="00CE5CA0">
        <w:rPr>
          <w:sz w:val="28"/>
          <w:szCs w:val="28"/>
          <w:highlight w:val="yellow"/>
          <w:lang w:val="uk-UA"/>
        </w:rPr>
        <w:t>кафедри</w:t>
      </w:r>
    </w:p>
    <w:p w14:paraId="4F8E79B6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 w:rsidR="00A402FD">
        <w:rPr>
          <w:sz w:val="28"/>
          <w:szCs w:val="28"/>
          <w:lang w:val="uk-UA"/>
        </w:rPr>
        <w:t xml:space="preserve"> 2020</w:t>
      </w:r>
      <w:r>
        <w:rPr>
          <w:sz w:val="28"/>
          <w:szCs w:val="28"/>
          <w:lang w:val="uk-UA"/>
        </w:rPr>
        <w:t xml:space="preserve"> р.  </w:t>
      </w:r>
    </w:p>
    <w:p w14:paraId="27E007FF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89F830C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7A735326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3549D94F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6D2272F4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743A0AA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71B6D45F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DFE3388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6C0B94FC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135F8AAD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5357BD87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80EC419" w14:textId="77777777"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A402FD">
        <w:rPr>
          <w:sz w:val="28"/>
          <w:szCs w:val="28"/>
          <w:lang w:val="uk-UA"/>
        </w:rPr>
        <w:t>Івано-Франківськ - 2020</w:t>
      </w:r>
    </w:p>
    <w:p w14:paraId="1985EE0B" w14:textId="3BA50D07" w:rsidR="00976DD6" w:rsidRDefault="00976DD6">
      <w:pPr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14:paraId="4209D23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14:paraId="0DD381D9" w14:textId="77777777"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062915D6" w14:textId="77777777"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71376877" w14:textId="77777777"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75AF8022" w14:textId="77777777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14:paraId="68D38F8F" w14:textId="77777777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14:paraId="173760DB" w14:textId="77777777"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14:paraId="428B675B" w14:textId="77777777"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14:paraId="7908F7EE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681C588C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227DF310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14:paraId="54E27E7C" w14:textId="77777777"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101B3471" w14:textId="77777777"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B77AE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FF32EC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F55BAE5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6EFA4A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28D779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83271B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2405AD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9EA6F4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1BCE4D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6A30BD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8099F0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427AA2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0B7CB1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5F66C1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99EC16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A6E1B4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D18651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BEB842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5392FE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DF0384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3AC5AA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61DB3F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C8E16F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2150FA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D072E0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77C7AD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D8220F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66"/>
        <w:gridCol w:w="705"/>
        <w:gridCol w:w="786"/>
        <w:gridCol w:w="171"/>
        <w:gridCol w:w="1343"/>
        <w:gridCol w:w="852"/>
        <w:gridCol w:w="718"/>
        <w:gridCol w:w="716"/>
        <w:gridCol w:w="623"/>
        <w:gridCol w:w="1591"/>
      </w:tblGrid>
      <w:tr w:rsidR="00C67355" w:rsidRPr="00C67355" w14:paraId="52B94A06" w14:textId="77777777" w:rsidTr="00BE3A33">
        <w:tc>
          <w:tcPr>
            <w:tcW w:w="9571" w:type="dxa"/>
            <w:gridSpan w:val="10"/>
          </w:tcPr>
          <w:p w14:paraId="1438664D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14:paraId="0BDC98FF" w14:textId="77777777" w:rsidTr="004217D3">
        <w:tc>
          <w:tcPr>
            <w:tcW w:w="3462" w:type="dxa"/>
            <w:gridSpan w:val="4"/>
          </w:tcPr>
          <w:p w14:paraId="2959AEE8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109" w:type="dxa"/>
            <w:gridSpan w:val="6"/>
          </w:tcPr>
          <w:p w14:paraId="7097D53E" w14:textId="649EE483" w:rsidR="002C2330" w:rsidRPr="00C67355" w:rsidRDefault="00976DD6" w:rsidP="00760833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Управління науково-дослідницькими проектами</w:t>
            </w:r>
          </w:p>
        </w:tc>
      </w:tr>
      <w:tr w:rsidR="00071F79" w:rsidRPr="00C67355" w14:paraId="6FB3FD6E" w14:textId="77777777" w:rsidTr="004217D3">
        <w:tc>
          <w:tcPr>
            <w:tcW w:w="3462" w:type="dxa"/>
            <w:gridSpan w:val="4"/>
          </w:tcPr>
          <w:p w14:paraId="28E630A6" w14:textId="77777777" w:rsidR="00071F79" w:rsidRPr="00071F79" w:rsidRDefault="00071F79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6109" w:type="dxa"/>
            <w:gridSpan w:val="6"/>
          </w:tcPr>
          <w:p w14:paraId="21E52B1F" w14:textId="3675A01F" w:rsidR="00071F79" w:rsidRPr="00760833" w:rsidRDefault="00976DD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Доктор філософії</w:t>
            </w:r>
          </w:p>
        </w:tc>
      </w:tr>
      <w:tr w:rsidR="002C2330" w:rsidRPr="00C67355" w14:paraId="25B14972" w14:textId="77777777" w:rsidTr="004217D3">
        <w:tc>
          <w:tcPr>
            <w:tcW w:w="3462" w:type="dxa"/>
            <w:gridSpan w:val="4"/>
          </w:tcPr>
          <w:p w14:paraId="670E5580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109" w:type="dxa"/>
            <w:gridSpan w:val="6"/>
          </w:tcPr>
          <w:p w14:paraId="2BF3091C" w14:textId="77777777" w:rsidR="002C2330" w:rsidRPr="00C67355" w:rsidRDefault="00760833" w:rsidP="00395013">
            <w:pPr>
              <w:jc w:val="both"/>
              <w:rPr>
                <w:lang w:val="uk-UA"/>
              </w:rPr>
            </w:pPr>
            <w:proofErr w:type="spellStart"/>
            <w:r w:rsidRPr="00053FD9">
              <w:rPr>
                <w:lang w:val="uk-UA"/>
              </w:rPr>
              <w:t>Никируй</w:t>
            </w:r>
            <w:proofErr w:type="spellEnd"/>
            <w:r w:rsidRPr="00053FD9">
              <w:rPr>
                <w:lang w:val="uk-UA"/>
              </w:rPr>
              <w:t xml:space="preserve"> Любомир Іванович – кандидат фізико-математичних наук, професор</w:t>
            </w:r>
            <w:r>
              <w:rPr>
                <w:lang w:val="uk-UA"/>
              </w:rPr>
              <w:t xml:space="preserve"> кафедри фізики і хімії твердого тіла</w:t>
            </w:r>
          </w:p>
        </w:tc>
      </w:tr>
      <w:tr w:rsidR="002C2330" w:rsidRPr="00C67355" w14:paraId="364B842E" w14:textId="77777777" w:rsidTr="004217D3">
        <w:tc>
          <w:tcPr>
            <w:tcW w:w="3462" w:type="dxa"/>
            <w:gridSpan w:val="4"/>
          </w:tcPr>
          <w:p w14:paraId="1D5B5ED3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109" w:type="dxa"/>
            <w:gridSpan w:val="6"/>
          </w:tcPr>
          <w:p w14:paraId="55519845" w14:textId="77777777" w:rsidR="002C2330" w:rsidRPr="00C67355" w:rsidRDefault="0076083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+380956991785</w:t>
            </w:r>
          </w:p>
        </w:tc>
      </w:tr>
      <w:tr w:rsidR="002C2330" w:rsidRPr="00212374" w14:paraId="575591F0" w14:textId="77777777" w:rsidTr="004217D3">
        <w:tc>
          <w:tcPr>
            <w:tcW w:w="3462" w:type="dxa"/>
            <w:gridSpan w:val="4"/>
          </w:tcPr>
          <w:p w14:paraId="0A1AAEE2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109" w:type="dxa"/>
            <w:gridSpan w:val="6"/>
          </w:tcPr>
          <w:p w14:paraId="3CB3C33B" w14:textId="77777777" w:rsidR="002C2330" w:rsidRPr="00976DD6" w:rsidRDefault="00F23609" w:rsidP="00395013">
            <w:pPr>
              <w:jc w:val="both"/>
              <w:rPr>
                <w:lang w:val="uk-UA"/>
              </w:rPr>
            </w:pPr>
            <w:hyperlink r:id="rId7" w:history="1">
              <w:r w:rsidR="00760833" w:rsidRPr="00C971E4">
                <w:rPr>
                  <w:rStyle w:val="a8"/>
                  <w:lang w:val="en-US"/>
                </w:rPr>
                <w:t>lyubomyr</w:t>
              </w:r>
              <w:r w:rsidR="00760833" w:rsidRPr="00976DD6">
                <w:rPr>
                  <w:rStyle w:val="a8"/>
                  <w:lang w:val="uk-UA"/>
                </w:rPr>
                <w:t>.</w:t>
              </w:r>
              <w:r w:rsidR="00760833" w:rsidRPr="00C971E4">
                <w:rPr>
                  <w:rStyle w:val="a8"/>
                  <w:lang w:val="en-US"/>
                </w:rPr>
                <w:t>nykyruy</w:t>
              </w:r>
              <w:r w:rsidR="00760833" w:rsidRPr="00976DD6">
                <w:rPr>
                  <w:rStyle w:val="a8"/>
                  <w:lang w:val="uk-UA"/>
                </w:rPr>
                <w:t>@</w:t>
              </w:r>
              <w:r w:rsidR="00760833" w:rsidRPr="00C971E4">
                <w:rPr>
                  <w:rStyle w:val="a8"/>
                  <w:lang w:val="en-US"/>
                </w:rPr>
                <w:t>pnu</w:t>
              </w:r>
              <w:r w:rsidR="00760833" w:rsidRPr="00976DD6">
                <w:rPr>
                  <w:rStyle w:val="a8"/>
                  <w:lang w:val="uk-UA"/>
                </w:rPr>
                <w:t>.</w:t>
              </w:r>
              <w:r w:rsidR="00760833" w:rsidRPr="00C971E4">
                <w:rPr>
                  <w:rStyle w:val="a8"/>
                  <w:lang w:val="en-US"/>
                </w:rPr>
                <w:t>edu</w:t>
              </w:r>
              <w:r w:rsidR="00760833" w:rsidRPr="00976DD6">
                <w:rPr>
                  <w:rStyle w:val="a8"/>
                  <w:lang w:val="uk-UA"/>
                </w:rPr>
                <w:t>.</w:t>
              </w:r>
              <w:proofErr w:type="spellStart"/>
              <w:r w:rsidR="00760833" w:rsidRPr="00C971E4">
                <w:rPr>
                  <w:rStyle w:val="a8"/>
                  <w:lang w:val="en-US"/>
                </w:rPr>
                <w:t>ua</w:t>
              </w:r>
              <w:proofErr w:type="spellEnd"/>
            </w:hyperlink>
            <w:r w:rsidR="00760833" w:rsidRPr="00976DD6">
              <w:rPr>
                <w:lang w:val="uk-UA"/>
              </w:rPr>
              <w:t xml:space="preserve"> </w:t>
            </w:r>
          </w:p>
        </w:tc>
      </w:tr>
      <w:tr w:rsidR="002C2330" w:rsidRPr="00C67355" w14:paraId="2075FF20" w14:textId="77777777" w:rsidTr="004217D3">
        <w:tc>
          <w:tcPr>
            <w:tcW w:w="3462" w:type="dxa"/>
            <w:gridSpan w:val="4"/>
          </w:tcPr>
          <w:p w14:paraId="08CC866C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109" w:type="dxa"/>
            <w:gridSpan w:val="6"/>
          </w:tcPr>
          <w:p w14:paraId="294D95BB" w14:textId="77777777" w:rsidR="002C2330" w:rsidRPr="00760833" w:rsidRDefault="0076083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Очний, заочний</w:t>
            </w:r>
          </w:p>
        </w:tc>
      </w:tr>
      <w:tr w:rsidR="002C2330" w:rsidRPr="00C67355" w14:paraId="4BB90B02" w14:textId="77777777" w:rsidTr="004217D3">
        <w:tc>
          <w:tcPr>
            <w:tcW w:w="3462" w:type="dxa"/>
            <w:gridSpan w:val="4"/>
          </w:tcPr>
          <w:p w14:paraId="69C94072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109" w:type="dxa"/>
            <w:gridSpan w:val="6"/>
          </w:tcPr>
          <w:p w14:paraId="68BA3CBD" w14:textId="77777777" w:rsidR="002C2330" w:rsidRPr="00C67355" w:rsidRDefault="00760833" w:rsidP="00395013">
            <w:pPr>
              <w:jc w:val="both"/>
              <w:rPr>
                <w:lang w:val="uk-UA"/>
              </w:rPr>
            </w:pPr>
            <w:r w:rsidRPr="00053FD9">
              <w:rPr>
                <w:lang w:val="uk-UA"/>
              </w:rPr>
              <w:t>3 кредити ECTS, 90 год.</w:t>
            </w:r>
          </w:p>
        </w:tc>
      </w:tr>
      <w:tr w:rsidR="002C2330" w:rsidRPr="00212374" w14:paraId="530F782F" w14:textId="77777777" w:rsidTr="004217D3">
        <w:tc>
          <w:tcPr>
            <w:tcW w:w="3462" w:type="dxa"/>
            <w:gridSpan w:val="4"/>
          </w:tcPr>
          <w:p w14:paraId="14E8183B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6109" w:type="dxa"/>
            <w:gridSpan w:val="6"/>
          </w:tcPr>
          <w:p w14:paraId="26F6545F" w14:textId="77777777" w:rsidR="002C2330" w:rsidRPr="00C67355" w:rsidRDefault="00F23609" w:rsidP="00395013">
            <w:pPr>
              <w:jc w:val="both"/>
              <w:rPr>
                <w:lang w:val="uk-UA"/>
              </w:rPr>
            </w:pPr>
            <w:hyperlink r:id="rId8" w:history="1">
              <w:r w:rsidR="00760833" w:rsidRPr="00C971E4">
                <w:rPr>
                  <w:rStyle w:val="a8"/>
                  <w:lang w:val="uk-UA"/>
                </w:rPr>
                <w:t>http://www.d-learn.pu.if.ua</w:t>
              </w:r>
            </w:hyperlink>
            <w:r w:rsidR="00760833">
              <w:rPr>
                <w:lang w:val="uk-UA"/>
              </w:rPr>
              <w:t xml:space="preserve"> </w:t>
            </w:r>
          </w:p>
        </w:tc>
      </w:tr>
      <w:tr w:rsidR="002C2330" w:rsidRPr="00C67355" w14:paraId="3650B2E6" w14:textId="77777777" w:rsidTr="004217D3">
        <w:tc>
          <w:tcPr>
            <w:tcW w:w="3462" w:type="dxa"/>
            <w:gridSpan w:val="4"/>
          </w:tcPr>
          <w:p w14:paraId="13827B58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109" w:type="dxa"/>
            <w:gridSpan w:val="6"/>
          </w:tcPr>
          <w:p w14:paraId="0FC29166" w14:textId="77777777" w:rsidR="002C2330" w:rsidRPr="00C67355" w:rsidRDefault="002C2330" w:rsidP="00395013">
            <w:pPr>
              <w:jc w:val="both"/>
              <w:rPr>
                <w:lang w:val="uk-UA"/>
              </w:rPr>
            </w:pPr>
          </w:p>
        </w:tc>
      </w:tr>
      <w:tr w:rsidR="00C67355" w:rsidRPr="00C67355" w14:paraId="052CC4FE" w14:textId="77777777" w:rsidTr="00BA7CC9">
        <w:tc>
          <w:tcPr>
            <w:tcW w:w="9571" w:type="dxa"/>
            <w:gridSpan w:val="10"/>
          </w:tcPr>
          <w:p w14:paraId="50EBE7E9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212374" w14:paraId="5DED97DA" w14:textId="77777777" w:rsidTr="0099225A">
        <w:tc>
          <w:tcPr>
            <w:tcW w:w="9571" w:type="dxa"/>
            <w:gridSpan w:val="10"/>
          </w:tcPr>
          <w:p w14:paraId="218DF49B" w14:textId="5AB9A030" w:rsidR="00C67355" w:rsidRPr="00C67355" w:rsidRDefault="00760833" w:rsidP="00395013">
            <w:pPr>
              <w:jc w:val="both"/>
              <w:rPr>
                <w:lang w:val="uk-UA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Зміст курсу передбачає висвітлення основних теоретичних основ, питань методики, технології та організації науково-дослідн</w:t>
            </w:r>
            <w:r w:rsidR="00C66222">
              <w:rPr>
                <w:rFonts w:eastAsiaTheme="minorHAnsi"/>
                <w:sz w:val="22"/>
                <w:szCs w:val="22"/>
                <w:lang w:val="uk-UA" w:eastAsia="en-US"/>
              </w:rPr>
              <w:t>их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r w:rsidR="00C66222">
              <w:rPr>
                <w:rFonts w:eastAsiaTheme="minorHAnsi"/>
                <w:sz w:val="22"/>
                <w:szCs w:val="22"/>
                <w:lang w:val="uk-UA" w:eastAsia="en-US"/>
              </w:rPr>
              <w:t>проектів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, тобто теоретичного і практичного підґрунтя для ефективно</w:t>
            </w:r>
            <w:r w:rsidR="00C66222">
              <w:rPr>
                <w:rFonts w:eastAsiaTheme="minorHAnsi"/>
                <w:sz w:val="22"/>
                <w:szCs w:val="22"/>
                <w:lang w:val="uk-UA" w:eastAsia="en-US"/>
              </w:rPr>
              <w:t>го планування та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r w:rsidR="00C66222">
              <w:rPr>
                <w:rFonts w:eastAsiaTheme="minorHAnsi"/>
                <w:sz w:val="22"/>
                <w:szCs w:val="22"/>
                <w:lang w:val="uk-UA" w:eastAsia="en-US"/>
              </w:rPr>
              <w:t>організації аспірантами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r w:rsidR="00CE5CA0">
              <w:rPr>
                <w:rFonts w:eastAsiaTheme="minorHAnsi"/>
                <w:sz w:val="22"/>
                <w:szCs w:val="22"/>
                <w:lang w:val="uk-UA" w:eastAsia="en-US"/>
              </w:rPr>
              <w:t xml:space="preserve">власних 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наукових досліджень. Оволодіння методологією</w:t>
            </w:r>
            <w:r w:rsidR="00C66222">
              <w:rPr>
                <w:rFonts w:eastAsiaTheme="minorHAnsi"/>
                <w:sz w:val="22"/>
                <w:szCs w:val="22"/>
                <w:lang w:val="uk-UA" w:eastAsia="en-US"/>
              </w:rPr>
              <w:t xml:space="preserve"> підготовки проектів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, методами та необхідним інструментарієм в сучасн</w:t>
            </w:r>
            <w:r w:rsidR="00C66222">
              <w:rPr>
                <w:rFonts w:eastAsiaTheme="minorHAnsi"/>
                <w:sz w:val="22"/>
                <w:szCs w:val="22"/>
                <w:lang w:val="uk-UA" w:eastAsia="en-US"/>
              </w:rPr>
              <w:t>ому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 суспільств</w:t>
            </w:r>
            <w:r w:rsidR="00C66222">
              <w:rPr>
                <w:rFonts w:eastAsiaTheme="minorHAnsi"/>
                <w:sz w:val="22"/>
                <w:szCs w:val="22"/>
                <w:lang w:val="uk-UA" w:eastAsia="en-US"/>
              </w:rPr>
              <w:t>і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 сприятиме підвищенню якості наукового дослідження, набуття відповідного практичного досвіду поєднання теоретичних знань і практичних навиків, успішному захисту  </w:t>
            </w:r>
            <w:r w:rsidR="00C66222">
              <w:rPr>
                <w:rFonts w:eastAsiaTheme="minorHAnsi"/>
                <w:sz w:val="22"/>
                <w:szCs w:val="22"/>
                <w:lang w:val="uk-UA" w:eastAsia="en-US"/>
              </w:rPr>
              <w:t>дисертаційних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 робіт.</w:t>
            </w:r>
            <w:r w:rsidR="00491290">
              <w:rPr>
                <w:rFonts w:eastAsiaTheme="minorHAnsi"/>
                <w:sz w:val="22"/>
                <w:szCs w:val="22"/>
                <w:lang w:val="uk-UA" w:eastAsia="en-US"/>
              </w:rPr>
              <w:t xml:space="preserve"> Вміння написати проект та знання </w:t>
            </w:r>
            <w:r w:rsidR="00CE5CA0">
              <w:rPr>
                <w:rFonts w:eastAsiaTheme="minorHAnsi"/>
                <w:sz w:val="22"/>
                <w:szCs w:val="22"/>
                <w:lang w:val="uk-UA" w:eastAsia="en-US"/>
              </w:rPr>
              <w:t>вимог, що встановлені організаціями та фондами, що фінансово підтримують виконання наукових досліджень</w:t>
            </w:r>
            <w:r w:rsidR="00491290">
              <w:rPr>
                <w:rFonts w:eastAsiaTheme="minorHAnsi"/>
                <w:sz w:val="22"/>
                <w:szCs w:val="22"/>
                <w:lang w:val="uk-UA" w:eastAsia="en-US"/>
              </w:rPr>
              <w:t xml:space="preserve"> є запорукою </w:t>
            </w:r>
            <w:r w:rsidR="00CE5CA0">
              <w:rPr>
                <w:rFonts w:eastAsiaTheme="minorHAnsi"/>
                <w:sz w:val="22"/>
                <w:szCs w:val="22"/>
                <w:lang w:val="uk-UA" w:eastAsia="en-US"/>
              </w:rPr>
              <w:t>якісної дисертаційної роботи, якісного, надійного та методично правильного підходу до її виконання, а також до створення умов академічної, у т.ч., й міжнародної, мобільності.</w:t>
            </w:r>
          </w:p>
        </w:tc>
      </w:tr>
      <w:tr w:rsidR="00C67355" w:rsidRPr="00C67355" w14:paraId="103BE9D6" w14:textId="77777777" w:rsidTr="00485E11">
        <w:tc>
          <w:tcPr>
            <w:tcW w:w="9571" w:type="dxa"/>
            <w:gridSpan w:val="10"/>
          </w:tcPr>
          <w:p w14:paraId="7EE77336" w14:textId="77777777"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C67355" w14:paraId="3C7C94FE" w14:textId="77777777" w:rsidTr="00E92E49">
        <w:tc>
          <w:tcPr>
            <w:tcW w:w="9571" w:type="dxa"/>
            <w:gridSpan w:val="10"/>
          </w:tcPr>
          <w:p w14:paraId="65867D19" w14:textId="08C148F9" w:rsidR="00760833" w:rsidRPr="00053FD9" w:rsidRDefault="00760833" w:rsidP="00760833">
            <w:pPr>
              <w:widowControl w:val="0"/>
              <w:contextualSpacing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Мета курсу: оволодіння методами </w:t>
            </w:r>
            <w:r w:rsidR="001611B1">
              <w:rPr>
                <w:rFonts w:eastAsiaTheme="minorHAnsi"/>
                <w:sz w:val="22"/>
                <w:szCs w:val="22"/>
                <w:lang w:val="uk-UA" w:eastAsia="en-US"/>
              </w:rPr>
              <w:t xml:space="preserve">виконання та управління 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наукового дослідження, формування системи знань та вмінь, необхідних для самостійного </w:t>
            </w:r>
            <w:r w:rsidR="00CE5CA0">
              <w:rPr>
                <w:rFonts w:eastAsiaTheme="minorHAnsi"/>
                <w:sz w:val="22"/>
                <w:szCs w:val="22"/>
                <w:lang w:val="uk-UA" w:eastAsia="en-US"/>
              </w:rPr>
              <w:t>планування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r w:rsidR="001611B1">
              <w:rPr>
                <w:rFonts w:eastAsiaTheme="minorHAnsi"/>
                <w:sz w:val="22"/>
                <w:szCs w:val="22"/>
                <w:lang w:val="uk-UA" w:eastAsia="en-US"/>
              </w:rPr>
              <w:t xml:space="preserve">якісних та конкурентних 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наукових досліджень.</w:t>
            </w:r>
          </w:p>
          <w:p w14:paraId="737A176C" w14:textId="77777777" w:rsidR="00760833" w:rsidRPr="00053FD9" w:rsidRDefault="00760833" w:rsidP="00760833">
            <w:pPr>
              <w:widowControl w:val="0"/>
              <w:contextualSpacing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Завдання курсу:</w:t>
            </w:r>
          </w:p>
          <w:p w14:paraId="2DE1874B" w14:textId="66927C82" w:rsidR="00760833" w:rsidRPr="00053FD9" w:rsidRDefault="00760833" w:rsidP="00760833">
            <w:pPr>
              <w:pStyle w:val="a5"/>
              <w:widowControl w:val="0"/>
              <w:numPr>
                <w:ilvl w:val="0"/>
                <w:numId w:val="7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формування цілісних теоретичних уявлень про загальн</w:t>
            </w:r>
            <w:r w:rsidR="001611B1">
              <w:rPr>
                <w:rFonts w:eastAsiaTheme="minorHAnsi"/>
                <w:sz w:val="22"/>
                <w:szCs w:val="22"/>
                <w:lang w:val="uk-UA" w:eastAsia="en-US"/>
              </w:rPr>
              <w:t>і підходи щодо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 методологі</w:t>
            </w:r>
            <w:r w:rsidR="001611B1">
              <w:rPr>
                <w:rFonts w:eastAsiaTheme="minorHAnsi"/>
                <w:sz w:val="22"/>
                <w:szCs w:val="22"/>
                <w:lang w:val="uk-UA" w:eastAsia="en-US"/>
              </w:rPr>
              <w:t>ї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 наукової творчості;</w:t>
            </w:r>
          </w:p>
          <w:p w14:paraId="401001DE" w14:textId="70313613" w:rsidR="00760833" w:rsidRPr="00053FD9" w:rsidRDefault="00760833" w:rsidP="00760833">
            <w:pPr>
              <w:pStyle w:val="a5"/>
              <w:widowControl w:val="0"/>
              <w:numPr>
                <w:ilvl w:val="0"/>
                <w:numId w:val="7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формулювання наукових знань з найбільш актуальних проблем організації</w:t>
            </w:r>
            <w:r w:rsidR="001611B1">
              <w:rPr>
                <w:rFonts w:eastAsiaTheme="minorHAnsi"/>
                <w:sz w:val="22"/>
                <w:szCs w:val="22"/>
                <w:lang w:val="uk-UA" w:eastAsia="en-US"/>
              </w:rPr>
              <w:t>,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r w:rsidR="001611B1">
              <w:rPr>
                <w:rFonts w:eastAsiaTheme="minorHAnsi"/>
                <w:sz w:val="22"/>
                <w:szCs w:val="22"/>
                <w:lang w:val="uk-UA" w:eastAsia="en-US"/>
              </w:rPr>
              <w:t xml:space="preserve">виконання та управління 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наукового дослідження;</w:t>
            </w:r>
          </w:p>
          <w:p w14:paraId="41246F46" w14:textId="77777777" w:rsidR="00760833" w:rsidRPr="00053FD9" w:rsidRDefault="00760833" w:rsidP="00760833">
            <w:pPr>
              <w:pStyle w:val="a5"/>
              <w:widowControl w:val="0"/>
              <w:numPr>
                <w:ilvl w:val="0"/>
                <w:numId w:val="7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розкриття специфіки наукового пізнання та формування філософського підходу до методології пізнавальної діяльності;</w:t>
            </w:r>
          </w:p>
          <w:p w14:paraId="2DCDB12A" w14:textId="1B8D3163" w:rsidR="00760833" w:rsidRPr="00053FD9" w:rsidRDefault="00760833" w:rsidP="00760833">
            <w:pPr>
              <w:pStyle w:val="a5"/>
              <w:widowControl w:val="0"/>
              <w:numPr>
                <w:ilvl w:val="0"/>
                <w:numId w:val="7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оволодіння </w:t>
            </w:r>
            <w:r w:rsidR="00CE5CA0">
              <w:rPr>
                <w:rFonts w:eastAsiaTheme="minorHAnsi"/>
                <w:sz w:val="22"/>
                <w:szCs w:val="22"/>
                <w:lang w:val="uk-UA" w:eastAsia="en-US"/>
              </w:rPr>
              <w:t>аспірантами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 понятійним апаратом і методикою виконання й оформлення науково-дослідної роботи та її захисту</w:t>
            </w:r>
            <w:r w:rsidR="001611B1">
              <w:rPr>
                <w:rFonts w:eastAsiaTheme="minorHAnsi"/>
                <w:sz w:val="22"/>
                <w:szCs w:val="22"/>
                <w:lang w:val="uk-UA" w:eastAsia="en-US"/>
              </w:rPr>
              <w:t xml:space="preserve"> / презентації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;</w:t>
            </w:r>
          </w:p>
          <w:p w14:paraId="47125ED7" w14:textId="12AC7623" w:rsidR="00760833" w:rsidRPr="00053FD9" w:rsidRDefault="00760833" w:rsidP="00760833">
            <w:pPr>
              <w:pStyle w:val="a5"/>
              <w:widowControl w:val="0"/>
              <w:numPr>
                <w:ilvl w:val="0"/>
                <w:numId w:val="7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ознайомлення зі способами роботи </w:t>
            </w:r>
            <w:r w:rsidR="001611B1">
              <w:rPr>
                <w:rFonts w:eastAsiaTheme="minorHAnsi"/>
                <w:sz w:val="22"/>
                <w:szCs w:val="22"/>
                <w:lang w:val="uk-UA" w:eastAsia="en-US"/>
              </w:rPr>
              <w:t>і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з науково-технічною інформацією;</w:t>
            </w:r>
          </w:p>
          <w:p w14:paraId="26CD3BFE" w14:textId="77777777" w:rsidR="00760833" w:rsidRPr="00053FD9" w:rsidRDefault="00760833" w:rsidP="00760833">
            <w:pPr>
              <w:pStyle w:val="a5"/>
              <w:widowControl w:val="0"/>
              <w:numPr>
                <w:ilvl w:val="0"/>
                <w:numId w:val="7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ознайомлення з загальними вимогами до наукових досліджень, основ їх планування, організації та виконання;</w:t>
            </w:r>
          </w:p>
          <w:p w14:paraId="2A83499B" w14:textId="1D0E2162" w:rsidR="00760833" w:rsidRDefault="00760833" w:rsidP="00760833">
            <w:pPr>
              <w:pStyle w:val="a5"/>
              <w:widowControl w:val="0"/>
              <w:numPr>
                <w:ilvl w:val="0"/>
                <w:numId w:val="7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ознайомлення з вимогами до оформлення різних видів дослідницьких робіт;</w:t>
            </w:r>
          </w:p>
          <w:p w14:paraId="42236DDD" w14:textId="49497AD9" w:rsidR="00CE5CA0" w:rsidRPr="00053FD9" w:rsidRDefault="00CE5CA0" w:rsidP="00760833">
            <w:pPr>
              <w:pStyle w:val="a5"/>
              <w:widowControl w:val="0"/>
              <w:numPr>
                <w:ilvl w:val="0"/>
                <w:numId w:val="7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ознайомлення із принципами роботи міжнародних фундацій, що фінансово підтримують виконання наукових досліджень;</w:t>
            </w:r>
          </w:p>
          <w:p w14:paraId="09AB79FB" w14:textId="77777777" w:rsidR="004217D3" w:rsidRPr="004217D3" w:rsidRDefault="00760833" w:rsidP="004217D3">
            <w:pPr>
              <w:pStyle w:val="a5"/>
              <w:widowControl w:val="0"/>
              <w:numPr>
                <w:ilvl w:val="0"/>
                <w:numId w:val="7"/>
              </w:numPr>
              <w:rPr>
                <w:lang w:val="uk-UA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засвоєння методів планування та проведення наукових досліджень, обробки й аналізу їхніх результатів, оформлення та представлення результатів дослідження;</w:t>
            </w:r>
          </w:p>
          <w:p w14:paraId="12734E47" w14:textId="147DB006" w:rsidR="00C67355" w:rsidRPr="004217D3" w:rsidRDefault="00760833" w:rsidP="004217D3">
            <w:pPr>
              <w:pStyle w:val="a5"/>
              <w:widowControl w:val="0"/>
              <w:numPr>
                <w:ilvl w:val="0"/>
                <w:numId w:val="7"/>
              </w:numPr>
              <w:rPr>
                <w:lang w:val="uk-UA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ознайомлення </w:t>
            </w:r>
            <w:r w:rsidR="00CE5CA0">
              <w:rPr>
                <w:rFonts w:eastAsiaTheme="minorHAnsi"/>
                <w:sz w:val="22"/>
                <w:szCs w:val="22"/>
                <w:lang w:val="uk-UA" w:eastAsia="en-US"/>
              </w:rPr>
              <w:t>аспірантів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 з організацією науково-дослідної роботи студентів, викладачів</w:t>
            </w:r>
            <w:r w:rsidRPr="00053FD9">
              <w:rPr>
                <w:color w:val="2B2B2B"/>
                <w:lang w:val="uk-UA" w:eastAsia="uk-UA"/>
              </w:rPr>
              <w:t xml:space="preserve">, 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аспірантів, докторантів та ін.</w:t>
            </w:r>
            <w:r w:rsidR="004217D3">
              <w:rPr>
                <w:rFonts w:eastAsiaTheme="minorHAnsi"/>
                <w:lang w:val="uk-UA" w:eastAsia="en-US"/>
              </w:rPr>
              <w:t>;</w:t>
            </w:r>
          </w:p>
          <w:p w14:paraId="6C8EC731" w14:textId="2499EE08" w:rsidR="004217D3" w:rsidRPr="00C67355" w:rsidRDefault="004217D3" w:rsidP="004217D3">
            <w:pPr>
              <w:pStyle w:val="a5"/>
              <w:widowControl w:val="0"/>
              <w:numPr>
                <w:ilvl w:val="0"/>
                <w:numId w:val="7"/>
              </w:numPr>
              <w:rPr>
                <w:lang w:val="uk-UA"/>
              </w:rPr>
            </w:pPr>
            <w:r w:rsidRPr="00CE5CA0">
              <w:rPr>
                <w:rFonts w:eastAsiaTheme="minorHAnsi"/>
                <w:sz w:val="22"/>
                <w:szCs w:val="22"/>
                <w:lang w:val="uk-UA" w:eastAsia="en-US"/>
              </w:rPr>
              <w:t>ознайомлення із профілями науковців у інтернет мережі; оволодіння навиками створення власного профілю</w:t>
            </w:r>
            <w:r w:rsidR="00CE5CA0">
              <w:rPr>
                <w:rFonts w:eastAsiaTheme="minorHAnsi"/>
                <w:sz w:val="22"/>
                <w:szCs w:val="22"/>
                <w:lang w:val="uk-UA" w:eastAsia="en-US"/>
              </w:rPr>
              <w:t>,</w:t>
            </w:r>
            <w:r w:rsidRPr="00CE5CA0">
              <w:rPr>
                <w:rFonts w:eastAsiaTheme="minorHAnsi"/>
                <w:sz w:val="22"/>
                <w:szCs w:val="22"/>
                <w:lang w:val="uk-UA" w:eastAsia="en-US"/>
              </w:rPr>
              <w:t xml:space="preserve"> початку </w:t>
            </w:r>
            <w:r w:rsidR="00CE5CA0">
              <w:rPr>
                <w:rFonts w:eastAsiaTheme="minorHAnsi"/>
                <w:sz w:val="22"/>
                <w:szCs w:val="22"/>
                <w:lang w:val="uk-UA" w:eastAsia="en-US"/>
              </w:rPr>
              <w:t xml:space="preserve">та розвитку </w:t>
            </w:r>
            <w:r w:rsidRPr="00CE5CA0">
              <w:rPr>
                <w:rFonts w:eastAsiaTheme="minorHAnsi"/>
                <w:sz w:val="22"/>
                <w:szCs w:val="22"/>
                <w:lang w:val="uk-UA" w:eastAsia="en-US"/>
              </w:rPr>
              <w:t>наукових комунікацій.</w:t>
            </w:r>
          </w:p>
        </w:tc>
      </w:tr>
      <w:tr w:rsidR="001039A3" w:rsidRPr="00C67355" w14:paraId="6D57EC1A" w14:textId="77777777" w:rsidTr="00E92E49">
        <w:tc>
          <w:tcPr>
            <w:tcW w:w="9571" w:type="dxa"/>
            <w:gridSpan w:val="10"/>
          </w:tcPr>
          <w:p w14:paraId="126CA739" w14:textId="77777777" w:rsidR="001039A3" w:rsidRPr="001039A3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Компетентності</w:t>
            </w:r>
          </w:p>
        </w:tc>
      </w:tr>
      <w:tr w:rsidR="0084333C" w:rsidRPr="00C67355" w14:paraId="1ECFDB13" w14:textId="77777777" w:rsidTr="00E92E49">
        <w:tc>
          <w:tcPr>
            <w:tcW w:w="9571" w:type="dxa"/>
            <w:gridSpan w:val="10"/>
          </w:tcPr>
          <w:p w14:paraId="61099CB3" w14:textId="77777777" w:rsidR="00AF6F3B" w:rsidRPr="00AF6F3B" w:rsidRDefault="00AF6F3B" w:rsidP="00AF6F3B">
            <w:pPr>
              <w:pStyle w:val="a5"/>
              <w:widowControl w:val="0"/>
              <w:jc w:val="both"/>
              <w:rPr>
                <w:lang w:val="uk-UA"/>
              </w:rPr>
            </w:pPr>
            <w:proofErr w:type="spellStart"/>
            <w:r w:rsidRPr="00AF6F3B">
              <w:rPr>
                <w:b/>
                <w:i/>
                <w:lang w:val="uk-UA"/>
              </w:rPr>
              <w:t>Cоціально-особистісні</w:t>
            </w:r>
            <w:proofErr w:type="spellEnd"/>
            <w:r w:rsidRPr="00AF6F3B">
              <w:rPr>
                <w:b/>
                <w:i/>
                <w:lang w:val="uk-UA"/>
              </w:rPr>
              <w:t xml:space="preserve"> компетентності</w:t>
            </w:r>
            <w:r w:rsidRPr="00AF6F3B">
              <w:rPr>
                <w:lang w:val="uk-UA"/>
              </w:rPr>
              <w:t xml:space="preserve">: наполегливість у досягненні мети; турбота про якість виконуваної роботи; креативність, здатність до системного мислення. </w:t>
            </w:r>
          </w:p>
          <w:p w14:paraId="48CD7796" w14:textId="20E3AC0F" w:rsidR="00AF6F3B" w:rsidRPr="00AF6F3B" w:rsidRDefault="00AF6F3B" w:rsidP="00AF6F3B">
            <w:pPr>
              <w:pStyle w:val="a5"/>
              <w:widowControl w:val="0"/>
              <w:jc w:val="both"/>
              <w:rPr>
                <w:lang w:val="uk-UA"/>
              </w:rPr>
            </w:pPr>
            <w:r w:rsidRPr="00AF6F3B">
              <w:rPr>
                <w:b/>
                <w:i/>
                <w:lang w:val="uk-UA"/>
              </w:rPr>
              <w:lastRenderedPageBreak/>
              <w:t>Інструментальні компетентності</w:t>
            </w:r>
            <w:r w:rsidRPr="00AF6F3B">
              <w:rPr>
                <w:lang w:val="uk-UA"/>
              </w:rPr>
              <w:t xml:space="preserve">: навички управління інформацією. </w:t>
            </w:r>
            <w:r w:rsidRPr="00AF6F3B">
              <w:rPr>
                <w:b/>
                <w:i/>
                <w:lang w:val="uk-UA"/>
              </w:rPr>
              <w:t>Професійні компетентності</w:t>
            </w:r>
            <w:r w:rsidRPr="00AF6F3B">
              <w:rPr>
                <w:lang w:val="uk-UA"/>
              </w:rPr>
              <w:t xml:space="preserve">: здатність до критичного аналізу та оцінки сучасних наукових досягнень; здатність генерувати нові ідеї при вирішенні дослідницьких і практичних завдань; </w:t>
            </w:r>
            <w:r w:rsidR="00CE5CA0">
              <w:rPr>
                <w:lang w:val="uk-UA"/>
              </w:rPr>
              <w:t xml:space="preserve">здатність планувати власні наукові дослідження у контексті розвитку світової науки; </w:t>
            </w:r>
            <w:r w:rsidRPr="00AF6F3B">
              <w:rPr>
                <w:lang w:val="uk-UA"/>
              </w:rPr>
              <w:t xml:space="preserve">здатність до застосування знань для вирішення завдань якісного і кількісного характеру; здатність пропонувати та обґрунтовувати гіпотези на основі теоретико-методологічного аналізу; здатність застосовувати комп’ютерні технології та програми для проведення дослідження та аналізу отриманих даних. </w:t>
            </w:r>
          </w:p>
          <w:p w14:paraId="0D71994D" w14:textId="2985CCB2" w:rsidR="00AF6F3B" w:rsidRPr="00AF6F3B" w:rsidRDefault="00AF6F3B" w:rsidP="00AF6F3B">
            <w:pPr>
              <w:pStyle w:val="a5"/>
              <w:widowControl w:val="0"/>
              <w:jc w:val="both"/>
              <w:rPr>
                <w:lang w:val="uk-UA"/>
              </w:rPr>
            </w:pPr>
            <w:r w:rsidRPr="00AF6F3B">
              <w:rPr>
                <w:b/>
                <w:i/>
                <w:lang w:val="uk-UA"/>
              </w:rPr>
              <w:t>Інтегральна компетентність</w:t>
            </w:r>
            <w:r w:rsidRPr="00AF6F3B">
              <w:rPr>
                <w:lang w:val="uk-UA"/>
              </w:rPr>
              <w:t xml:space="preserve">: здатність розв`язувати складні та практичні проблеми в галузі </w:t>
            </w:r>
            <w:r w:rsidR="00CE5CA0">
              <w:rPr>
                <w:lang w:val="uk-UA"/>
              </w:rPr>
              <w:t>вищої</w:t>
            </w:r>
            <w:r w:rsidRPr="00AF6F3B">
              <w:rPr>
                <w:lang w:val="uk-UA"/>
              </w:rPr>
              <w:t xml:space="preserve"> освіти</w:t>
            </w:r>
            <w:r w:rsidR="00CE5CA0">
              <w:rPr>
                <w:lang w:val="uk-UA"/>
              </w:rPr>
              <w:t xml:space="preserve"> та науково-технічної роботи</w:t>
            </w:r>
            <w:r w:rsidRPr="00AF6F3B">
              <w:rPr>
                <w:lang w:val="uk-UA"/>
              </w:rPr>
              <w:t xml:space="preserve">, що передбачає застосування знань та практичних методів </w:t>
            </w:r>
            <w:r w:rsidR="00CE5CA0">
              <w:rPr>
                <w:lang w:val="uk-UA"/>
              </w:rPr>
              <w:t>наукового пізнання</w:t>
            </w:r>
            <w:r w:rsidRPr="00AF6F3B">
              <w:rPr>
                <w:lang w:val="uk-UA"/>
              </w:rPr>
              <w:t xml:space="preserve">; </w:t>
            </w:r>
          </w:p>
          <w:p w14:paraId="5A12D059" w14:textId="67DE9083" w:rsidR="0084333C" w:rsidRDefault="00AF6F3B" w:rsidP="00AF6F3B">
            <w:pPr>
              <w:pStyle w:val="a5"/>
              <w:widowControl w:val="0"/>
              <w:jc w:val="both"/>
              <w:rPr>
                <w:b/>
                <w:lang w:val="uk-UA"/>
              </w:rPr>
            </w:pPr>
            <w:r w:rsidRPr="00AF6F3B">
              <w:rPr>
                <w:b/>
                <w:i/>
                <w:lang w:val="uk-UA"/>
              </w:rPr>
              <w:t>Загальні компетентності</w:t>
            </w:r>
            <w:r w:rsidRPr="00AF6F3B">
              <w:rPr>
                <w:lang w:val="uk-UA"/>
              </w:rPr>
              <w:t>: здатність працювати в групах, здатність організовувати практичне навчання, здатність опрацьовувати первинну інформацію</w:t>
            </w:r>
            <w:r w:rsidR="00CE5CA0">
              <w:rPr>
                <w:lang w:val="uk-UA"/>
              </w:rPr>
              <w:t>.</w:t>
            </w:r>
          </w:p>
        </w:tc>
      </w:tr>
      <w:tr w:rsidR="0084333C" w:rsidRPr="00C67355" w14:paraId="49656A2B" w14:textId="77777777" w:rsidTr="00E92E49">
        <w:tc>
          <w:tcPr>
            <w:tcW w:w="9571" w:type="dxa"/>
            <w:gridSpan w:val="10"/>
          </w:tcPr>
          <w:p w14:paraId="27141B3B" w14:textId="77777777" w:rsidR="0084333C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5. </w:t>
            </w:r>
            <w:r w:rsidRPr="0084333C">
              <w:rPr>
                <w:b/>
                <w:lang w:val="uk-UA"/>
              </w:rPr>
              <w:t>Результати навчання</w:t>
            </w:r>
          </w:p>
        </w:tc>
      </w:tr>
      <w:tr w:rsidR="001039A3" w:rsidRPr="00C67355" w14:paraId="0BCBE8B5" w14:textId="77777777" w:rsidTr="00E92E49">
        <w:tc>
          <w:tcPr>
            <w:tcW w:w="9571" w:type="dxa"/>
            <w:gridSpan w:val="10"/>
          </w:tcPr>
          <w:p w14:paraId="52A6D540" w14:textId="77777777" w:rsidR="00AF6F3B" w:rsidRPr="00053FD9" w:rsidRDefault="00AF6F3B" w:rsidP="00AF6F3B">
            <w:pPr>
              <w:pStyle w:val="a5"/>
              <w:widowControl w:val="0"/>
              <w:numPr>
                <w:ilvl w:val="0"/>
                <w:numId w:val="7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Здатність проведення досліджень на відповідному рівні</w:t>
            </w:r>
          </w:p>
          <w:p w14:paraId="654FEC16" w14:textId="77777777" w:rsidR="00AF6F3B" w:rsidRPr="00053FD9" w:rsidRDefault="00AF6F3B" w:rsidP="00AF6F3B">
            <w:pPr>
              <w:pStyle w:val="a5"/>
              <w:widowControl w:val="0"/>
              <w:numPr>
                <w:ilvl w:val="0"/>
                <w:numId w:val="7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Здатність розробляти проекти, управляти ними, виявляти ініціативу та підприємливість</w:t>
            </w:r>
          </w:p>
          <w:p w14:paraId="46210127" w14:textId="77777777" w:rsidR="00AF6F3B" w:rsidRPr="00053FD9" w:rsidRDefault="00AF6F3B" w:rsidP="00AF6F3B">
            <w:pPr>
              <w:pStyle w:val="a5"/>
              <w:widowControl w:val="0"/>
              <w:numPr>
                <w:ilvl w:val="0"/>
                <w:numId w:val="7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Здатність до пошуку, оброблення та аналізу інформації з різних джерел</w:t>
            </w:r>
          </w:p>
          <w:p w14:paraId="7B3603FD" w14:textId="77777777" w:rsidR="00AF6F3B" w:rsidRPr="00053FD9" w:rsidRDefault="00AF6F3B" w:rsidP="00AF6F3B">
            <w:pPr>
              <w:pStyle w:val="a5"/>
              <w:widowControl w:val="0"/>
              <w:numPr>
                <w:ilvl w:val="0"/>
                <w:numId w:val="7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Вміння виявляти, ставити та вирішувати проблеми</w:t>
            </w:r>
          </w:p>
          <w:p w14:paraId="62440468" w14:textId="7D3CE804" w:rsidR="00AF6F3B" w:rsidRPr="001611B1" w:rsidRDefault="00AF6F3B" w:rsidP="00AF6F3B">
            <w:pPr>
              <w:pStyle w:val="a5"/>
              <w:widowControl w:val="0"/>
              <w:numPr>
                <w:ilvl w:val="0"/>
                <w:numId w:val="7"/>
              </w:numPr>
              <w:rPr>
                <w:lang w:val="uk-UA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Здатність працювати автономно</w:t>
            </w:r>
          </w:p>
          <w:p w14:paraId="249DD059" w14:textId="594FE9AD" w:rsidR="001611B1" w:rsidRPr="001611B1" w:rsidRDefault="001611B1" w:rsidP="00AF6F3B">
            <w:pPr>
              <w:pStyle w:val="a5"/>
              <w:widowControl w:val="0"/>
              <w:numPr>
                <w:ilvl w:val="0"/>
                <w:numId w:val="7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1611B1">
              <w:rPr>
                <w:rFonts w:eastAsiaTheme="minorHAnsi"/>
                <w:sz w:val="22"/>
                <w:szCs w:val="22"/>
                <w:lang w:val="uk-UA" w:eastAsia="en-US"/>
              </w:rPr>
              <w:t>Вміння формувати науковий колектив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(команду)</w:t>
            </w:r>
            <w:r w:rsidRPr="001611B1">
              <w:rPr>
                <w:rFonts w:eastAsiaTheme="minorHAnsi"/>
                <w:sz w:val="22"/>
                <w:szCs w:val="22"/>
                <w:lang w:val="uk-UA" w:eastAsia="en-US"/>
              </w:rPr>
              <w:t xml:space="preserve"> для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виконання</w:t>
            </w:r>
            <w:r w:rsidRPr="001611B1">
              <w:rPr>
                <w:rFonts w:eastAsiaTheme="minorHAnsi"/>
                <w:sz w:val="22"/>
                <w:szCs w:val="22"/>
                <w:lang w:val="uk-UA" w:eastAsia="en-US"/>
              </w:rPr>
              <w:t xml:space="preserve"> конкретної фундаментальної чи прикладної задачі</w:t>
            </w:r>
          </w:p>
          <w:p w14:paraId="666A0197" w14:textId="77777777" w:rsidR="001039A3" w:rsidRPr="00C67355" w:rsidRDefault="00AF6F3B" w:rsidP="00AF6F3B">
            <w:pPr>
              <w:pStyle w:val="a5"/>
              <w:widowControl w:val="0"/>
              <w:numPr>
                <w:ilvl w:val="0"/>
                <w:numId w:val="7"/>
              </w:numPr>
              <w:rPr>
                <w:lang w:val="uk-UA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Здатність діяти соціально відповідально та </w:t>
            </w:r>
            <w:proofErr w:type="spellStart"/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громадянсько</w:t>
            </w:r>
            <w:proofErr w:type="spellEnd"/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 свідомо.</w:t>
            </w:r>
          </w:p>
        </w:tc>
      </w:tr>
      <w:tr w:rsidR="00C67355" w:rsidRPr="00C67355" w14:paraId="475D36D0" w14:textId="77777777" w:rsidTr="00F62131">
        <w:tc>
          <w:tcPr>
            <w:tcW w:w="9571" w:type="dxa"/>
            <w:gridSpan w:val="10"/>
          </w:tcPr>
          <w:p w14:paraId="28AB1BFB" w14:textId="77777777" w:rsidR="00C67355" w:rsidRPr="00C67355" w:rsidRDefault="0084333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14:paraId="2566FDC8" w14:textId="77777777" w:rsidTr="00235C39">
        <w:tc>
          <w:tcPr>
            <w:tcW w:w="9571" w:type="dxa"/>
            <w:gridSpan w:val="10"/>
          </w:tcPr>
          <w:p w14:paraId="5E0CA01A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</w:t>
            </w:r>
            <w:r w:rsidR="004217D3" w:rsidRPr="00053FD9">
              <w:rPr>
                <w:rFonts w:eastAsiaTheme="minorHAnsi"/>
                <w:lang w:val="uk-UA" w:eastAsia="en-US"/>
              </w:rPr>
              <w:t>навчальної дисципліни 90 год.</w:t>
            </w:r>
          </w:p>
        </w:tc>
      </w:tr>
      <w:tr w:rsidR="00C67355" w:rsidRPr="00C67355" w14:paraId="231F228E" w14:textId="77777777" w:rsidTr="004217D3">
        <w:tc>
          <w:tcPr>
            <w:tcW w:w="5708" w:type="dxa"/>
            <w:gridSpan w:val="6"/>
          </w:tcPr>
          <w:p w14:paraId="7B22B08D" w14:textId="77777777"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863" w:type="dxa"/>
            <w:gridSpan w:val="4"/>
          </w:tcPr>
          <w:p w14:paraId="7CDC1BB0" w14:textId="77777777"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14:paraId="317B0F48" w14:textId="77777777" w:rsidTr="004217D3">
        <w:tc>
          <w:tcPr>
            <w:tcW w:w="5708" w:type="dxa"/>
            <w:gridSpan w:val="6"/>
          </w:tcPr>
          <w:p w14:paraId="7C7D5F8C" w14:textId="77777777"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863" w:type="dxa"/>
            <w:gridSpan w:val="4"/>
          </w:tcPr>
          <w:p w14:paraId="70C78660" w14:textId="0D9CDC65" w:rsidR="000C46E3" w:rsidRPr="000C46E3" w:rsidRDefault="00EC080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4217D3">
              <w:rPr>
                <w:lang w:val="uk-UA"/>
              </w:rPr>
              <w:t xml:space="preserve"> год</w:t>
            </w:r>
          </w:p>
        </w:tc>
      </w:tr>
      <w:tr w:rsidR="000C46E3" w:rsidRPr="00C67355" w14:paraId="15871605" w14:textId="77777777" w:rsidTr="004217D3">
        <w:tc>
          <w:tcPr>
            <w:tcW w:w="5708" w:type="dxa"/>
            <w:gridSpan w:val="6"/>
          </w:tcPr>
          <w:p w14:paraId="5906011D" w14:textId="77777777"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863" w:type="dxa"/>
            <w:gridSpan w:val="4"/>
          </w:tcPr>
          <w:p w14:paraId="5665AC12" w14:textId="2437BB02" w:rsidR="000C46E3" w:rsidRPr="00C67355" w:rsidRDefault="00EC080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4217D3">
              <w:rPr>
                <w:lang w:val="uk-UA"/>
              </w:rPr>
              <w:t xml:space="preserve"> год</w:t>
            </w:r>
          </w:p>
        </w:tc>
      </w:tr>
      <w:tr w:rsidR="000C46E3" w:rsidRPr="00C67355" w14:paraId="0C90327A" w14:textId="77777777" w:rsidTr="004217D3">
        <w:tc>
          <w:tcPr>
            <w:tcW w:w="5708" w:type="dxa"/>
            <w:gridSpan w:val="6"/>
          </w:tcPr>
          <w:p w14:paraId="7A646B5F" w14:textId="77777777"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863" w:type="dxa"/>
            <w:gridSpan w:val="4"/>
          </w:tcPr>
          <w:p w14:paraId="79780622" w14:textId="77777777" w:rsidR="000C46E3" w:rsidRPr="00C67355" w:rsidRDefault="004217D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 год</w:t>
            </w:r>
          </w:p>
        </w:tc>
      </w:tr>
      <w:tr w:rsidR="000C46E3" w:rsidRPr="00C67355" w14:paraId="2F70CD8A" w14:textId="77777777" w:rsidTr="00453A0B">
        <w:tc>
          <w:tcPr>
            <w:tcW w:w="9571" w:type="dxa"/>
            <w:gridSpan w:val="10"/>
          </w:tcPr>
          <w:p w14:paraId="12ED29FF" w14:textId="77777777"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C46E3" w:rsidRPr="00C67355" w14:paraId="1951EE67" w14:textId="77777777" w:rsidTr="004217D3">
        <w:tc>
          <w:tcPr>
            <w:tcW w:w="2488" w:type="dxa"/>
            <w:gridSpan w:val="2"/>
            <w:vAlign w:val="center"/>
          </w:tcPr>
          <w:p w14:paraId="1589FFED" w14:textId="77777777"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68" w:type="dxa"/>
            <w:gridSpan w:val="3"/>
            <w:vAlign w:val="center"/>
          </w:tcPr>
          <w:p w14:paraId="6A2BE3F0" w14:textId="77777777"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68" w:type="dxa"/>
            <w:gridSpan w:val="3"/>
          </w:tcPr>
          <w:p w14:paraId="30D45AE9" w14:textId="77777777"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5DB065A0" w14:textId="77777777"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47" w:type="dxa"/>
            <w:gridSpan w:val="2"/>
          </w:tcPr>
          <w:p w14:paraId="533781D1" w14:textId="77777777"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137C0ED6" w14:textId="77777777"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14:paraId="77BA59C9" w14:textId="77777777" w:rsidTr="004217D3">
        <w:tc>
          <w:tcPr>
            <w:tcW w:w="2488" w:type="dxa"/>
            <w:gridSpan w:val="2"/>
          </w:tcPr>
          <w:p w14:paraId="7733A3E8" w14:textId="77777777" w:rsidR="000C46E3" w:rsidRPr="00C67355" w:rsidRDefault="004217D3" w:rsidP="002B3D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68" w:type="dxa"/>
            <w:gridSpan w:val="3"/>
          </w:tcPr>
          <w:p w14:paraId="1323E7DB" w14:textId="3610FAAA" w:rsidR="000C46E3" w:rsidRPr="00C67355" w:rsidRDefault="001611B1" w:rsidP="002B3D72">
            <w:pPr>
              <w:jc w:val="center"/>
              <w:rPr>
                <w:b/>
                <w:lang w:val="uk-UA"/>
              </w:rPr>
            </w:pPr>
            <w:r>
              <w:rPr>
                <w:b/>
                <w:highlight w:val="yellow"/>
                <w:lang w:val="uk-UA"/>
              </w:rPr>
              <w:t>033</w:t>
            </w:r>
            <w:r w:rsidR="004217D3" w:rsidRPr="001611B1">
              <w:rPr>
                <w:b/>
                <w:highlight w:val="yellow"/>
                <w:lang w:val="uk-UA"/>
              </w:rPr>
              <w:t xml:space="preserve"> </w:t>
            </w:r>
            <w:r w:rsidRPr="001611B1">
              <w:rPr>
                <w:b/>
                <w:highlight w:val="yellow"/>
                <w:lang w:val="uk-UA"/>
              </w:rPr>
              <w:t>Філософія</w:t>
            </w:r>
          </w:p>
        </w:tc>
        <w:tc>
          <w:tcPr>
            <w:tcW w:w="2368" w:type="dxa"/>
            <w:gridSpan w:val="3"/>
          </w:tcPr>
          <w:p w14:paraId="638277AD" w14:textId="77777777" w:rsidR="000C46E3" w:rsidRPr="00C67355" w:rsidRDefault="004217D3" w:rsidP="002B3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47" w:type="dxa"/>
            <w:gridSpan w:val="2"/>
          </w:tcPr>
          <w:p w14:paraId="1F360DC1" w14:textId="77777777" w:rsidR="000C46E3" w:rsidRPr="00C67355" w:rsidRDefault="004217D3" w:rsidP="002B3D72">
            <w:pPr>
              <w:jc w:val="center"/>
              <w:rPr>
                <w:lang w:val="uk-UA"/>
              </w:rPr>
            </w:pPr>
            <w:r w:rsidRPr="00053FD9">
              <w:rPr>
                <w:rFonts w:eastAsiaTheme="minorHAnsi"/>
                <w:lang w:val="uk-UA" w:eastAsia="en-US"/>
              </w:rPr>
              <w:t>нормативний</w:t>
            </w:r>
          </w:p>
        </w:tc>
      </w:tr>
      <w:tr w:rsidR="00AC76DC" w:rsidRPr="00C67355" w14:paraId="5A9B34D5" w14:textId="77777777" w:rsidTr="002A53DA">
        <w:tc>
          <w:tcPr>
            <w:tcW w:w="9571" w:type="dxa"/>
            <w:gridSpan w:val="10"/>
          </w:tcPr>
          <w:p w14:paraId="43136875" w14:textId="77777777"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AC76DC" w:rsidRPr="00C67355" w14:paraId="7B4E5FDB" w14:textId="77777777" w:rsidTr="004217D3">
        <w:tc>
          <w:tcPr>
            <w:tcW w:w="1725" w:type="dxa"/>
          </w:tcPr>
          <w:p w14:paraId="0F46B18A" w14:textId="77777777"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559" w:type="dxa"/>
            <w:gridSpan w:val="2"/>
          </w:tcPr>
          <w:p w14:paraId="2615ACAA" w14:textId="77777777"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572" w:type="dxa"/>
            <w:gridSpan w:val="2"/>
          </w:tcPr>
          <w:p w14:paraId="288DABB5" w14:textId="77777777"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589" w:type="dxa"/>
            <w:gridSpan w:val="2"/>
          </w:tcPr>
          <w:p w14:paraId="5E011033" w14:textId="77777777"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533" w:type="dxa"/>
            <w:gridSpan w:val="2"/>
          </w:tcPr>
          <w:p w14:paraId="69D75F5F" w14:textId="77777777"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93" w:type="dxa"/>
          </w:tcPr>
          <w:p w14:paraId="0672C078" w14:textId="77777777"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4217D3" w:rsidRPr="00C67355" w14:paraId="56F9BB94" w14:textId="77777777" w:rsidTr="004217D3">
        <w:tc>
          <w:tcPr>
            <w:tcW w:w="1725" w:type="dxa"/>
          </w:tcPr>
          <w:p w14:paraId="08C05178" w14:textId="3A80F4EA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Тема 1. </w:t>
            </w:r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 xml:space="preserve">Загальні поняття наукового дослідження та наукового пізнання. Вибір напрямку наукового дослідження. Організація і проведення наукових досліджень. Послідовність та етапи виконання наукових досліджень. Формулювання проблеми та </w:t>
            </w:r>
            <w:proofErr w:type="spellStart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>обгрунтування</w:t>
            </w:r>
            <w:proofErr w:type="spellEnd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 xml:space="preserve"> мети дослідження. Підготовка документації по плануванню наукових досліджень</w:t>
            </w:r>
          </w:p>
        </w:tc>
        <w:tc>
          <w:tcPr>
            <w:tcW w:w="1559" w:type="dxa"/>
            <w:gridSpan w:val="2"/>
          </w:tcPr>
          <w:p w14:paraId="55021447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>Лекція,</w:t>
            </w:r>
          </w:p>
          <w:p w14:paraId="4BD0BDA9" w14:textId="59775772" w:rsidR="004217D3" w:rsidRPr="00053FD9" w:rsidRDefault="00976DD6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семінарське</w:t>
            </w:r>
          </w:p>
          <w:p w14:paraId="2208DC61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заняття</w:t>
            </w:r>
          </w:p>
        </w:tc>
        <w:tc>
          <w:tcPr>
            <w:tcW w:w="1572" w:type="dxa"/>
            <w:gridSpan w:val="2"/>
          </w:tcPr>
          <w:p w14:paraId="48FB42DD" w14:textId="162445A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 w:rsidRPr="00053FD9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="00B01035">
              <w:rPr>
                <w:rFonts w:eastAsiaTheme="minorHAnsi"/>
                <w:sz w:val="22"/>
                <w:szCs w:val="22"/>
                <w:lang w:val="uk-UA" w:eastAsia="en-US"/>
              </w:rPr>
              <w:t xml:space="preserve">2, </w:t>
            </w:r>
            <w:r w:rsidRPr="00053FD9">
              <w:rPr>
                <w:rFonts w:eastAsiaTheme="minorHAnsi"/>
                <w:sz w:val="22"/>
                <w:szCs w:val="22"/>
                <w:lang w:val="en-US" w:eastAsia="en-US"/>
              </w:rPr>
              <w:t>5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, </w:t>
            </w:r>
            <w:r w:rsidR="00B01035">
              <w:rPr>
                <w:rFonts w:eastAsiaTheme="minorHAnsi"/>
                <w:sz w:val="22"/>
                <w:szCs w:val="22"/>
                <w:lang w:val="uk-UA" w:eastAsia="en-US"/>
              </w:rPr>
              <w:t>6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1589" w:type="dxa"/>
            <w:gridSpan w:val="2"/>
          </w:tcPr>
          <w:p w14:paraId="6A40F904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Опрацювати лекційний матеріал, підготуватися до практичного заняття</w:t>
            </w:r>
          </w:p>
        </w:tc>
        <w:tc>
          <w:tcPr>
            <w:tcW w:w="1533" w:type="dxa"/>
            <w:gridSpan w:val="2"/>
          </w:tcPr>
          <w:p w14:paraId="599DFB66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1593" w:type="dxa"/>
          </w:tcPr>
          <w:p w14:paraId="1CC255F1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14:paraId="6667C8E1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14:paraId="369240C5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14:paraId="23CBA806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4217D3" w:rsidRPr="00C67355" w14:paraId="0845A4BD" w14:textId="77777777" w:rsidTr="004217D3">
        <w:tc>
          <w:tcPr>
            <w:tcW w:w="1725" w:type="dxa"/>
          </w:tcPr>
          <w:p w14:paraId="459E0EF5" w14:textId="5EFE2EB8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 xml:space="preserve">Тема 2. </w:t>
            </w:r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>Теоретичні та експериментальні наукові дослідження. Стиль наукового мислення. Системний підхід та системний аналіз. Сутність та класифікація експерименту, загальні вимоги до проведення. Класична методика планування експериментальних досліджень. Апроксимація результатів експериментальних досліджень.</w:t>
            </w:r>
            <w:r w:rsidR="00EC0806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>Дисертаційна робота, як наукове дослідження: поняття, характеристика і вимоги до неї. Основні етапи підготовки дисертаційної роботи. Структура та технічне оформлення.</w:t>
            </w:r>
          </w:p>
        </w:tc>
        <w:tc>
          <w:tcPr>
            <w:tcW w:w="1559" w:type="dxa"/>
            <w:gridSpan w:val="2"/>
          </w:tcPr>
          <w:p w14:paraId="5BB09FF3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Лекція,</w:t>
            </w:r>
          </w:p>
          <w:p w14:paraId="467214B1" w14:textId="77777777" w:rsidR="00976DD6" w:rsidRPr="00053FD9" w:rsidRDefault="00976DD6" w:rsidP="00976D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семінарське</w:t>
            </w:r>
          </w:p>
          <w:p w14:paraId="508EF687" w14:textId="2190B723" w:rsidR="004217D3" w:rsidRPr="00053FD9" w:rsidRDefault="00976DD6" w:rsidP="00976D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заняття</w:t>
            </w:r>
          </w:p>
        </w:tc>
        <w:tc>
          <w:tcPr>
            <w:tcW w:w="1572" w:type="dxa"/>
            <w:gridSpan w:val="2"/>
          </w:tcPr>
          <w:p w14:paraId="17946B2B" w14:textId="0DF89DF1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[1</w:t>
            </w:r>
            <w:r w:rsidR="00B01035">
              <w:rPr>
                <w:rFonts w:eastAsiaTheme="minorHAnsi"/>
                <w:sz w:val="22"/>
                <w:szCs w:val="22"/>
                <w:lang w:val="uk-UA" w:eastAsia="en-US"/>
              </w:rPr>
              <w:t>-5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1589" w:type="dxa"/>
            <w:gridSpan w:val="2"/>
          </w:tcPr>
          <w:p w14:paraId="33E00718" w14:textId="77777777" w:rsidR="004217D3" w:rsidRPr="00053FD9" w:rsidRDefault="004217D3" w:rsidP="004217D3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Опрацювати лекційний матеріал, підготуватися до практичного заняття</w:t>
            </w:r>
          </w:p>
        </w:tc>
        <w:tc>
          <w:tcPr>
            <w:tcW w:w="1533" w:type="dxa"/>
            <w:gridSpan w:val="2"/>
          </w:tcPr>
          <w:p w14:paraId="347CFF95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1593" w:type="dxa"/>
          </w:tcPr>
          <w:p w14:paraId="3A65C521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14:paraId="6D486032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14:paraId="0C9F5CDF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14:paraId="58BA907B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4217D3" w:rsidRPr="00C67355" w14:paraId="3EC58A68" w14:textId="77777777" w:rsidTr="004217D3">
        <w:tc>
          <w:tcPr>
            <w:tcW w:w="1725" w:type="dxa"/>
          </w:tcPr>
          <w:p w14:paraId="72CDA945" w14:textId="738CACDD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Тема 3. </w:t>
            </w:r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 xml:space="preserve">Науково-дослідницький </w:t>
            </w:r>
            <w:proofErr w:type="spellStart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>проєкт</w:t>
            </w:r>
            <w:proofErr w:type="spellEnd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 xml:space="preserve">: </w:t>
            </w:r>
            <w:proofErr w:type="spellStart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>проєкти</w:t>
            </w:r>
            <w:proofErr w:type="spellEnd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 xml:space="preserve"> МОНУ та НФД. Основні етапи організації конкурсів наукових досліджень. Загальні вимоги до проведення конкурсу, аплікаційна форма, самооцінка та експертиза </w:t>
            </w:r>
            <w:proofErr w:type="spellStart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>проєкту</w:t>
            </w:r>
            <w:proofErr w:type="spellEnd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 xml:space="preserve">. </w:t>
            </w:r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 xml:space="preserve">Планування бюджету </w:t>
            </w:r>
            <w:proofErr w:type="spellStart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>проєкту</w:t>
            </w:r>
            <w:proofErr w:type="spellEnd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>. Формування команди та розподіл ролей / обов’язків.</w:t>
            </w:r>
          </w:p>
        </w:tc>
        <w:tc>
          <w:tcPr>
            <w:tcW w:w="1559" w:type="dxa"/>
            <w:gridSpan w:val="2"/>
          </w:tcPr>
          <w:p w14:paraId="56E3A843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>Лекція,</w:t>
            </w:r>
          </w:p>
          <w:p w14:paraId="572B4C5B" w14:textId="77777777" w:rsidR="00976DD6" w:rsidRPr="00053FD9" w:rsidRDefault="00976DD6" w:rsidP="00976D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семінарське</w:t>
            </w:r>
          </w:p>
          <w:p w14:paraId="7DACDF3D" w14:textId="331D30A7" w:rsidR="004217D3" w:rsidRPr="00053FD9" w:rsidRDefault="00976DD6" w:rsidP="00976D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заняття</w:t>
            </w:r>
          </w:p>
        </w:tc>
        <w:tc>
          <w:tcPr>
            <w:tcW w:w="1572" w:type="dxa"/>
            <w:gridSpan w:val="2"/>
          </w:tcPr>
          <w:p w14:paraId="6BFD2AF5" w14:textId="5070CF2D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[2, 3,</w:t>
            </w:r>
            <w:r w:rsidRPr="00053FD9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="00B2712D">
              <w:rPr>
                <w:rFonts w:eastAsiaTheme="minorHAnsi"/>
                <w:sz w:val="22"/>
                <w:szCs w:val="22"/>
                <w:lang w:val="uk-UA" w:eastAsia="en-US"/>
              </w:rPr>
              <w:t>7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1589" w:type="dxa"/>
            <w:gridSpan w:val="2"/>
          </w:tcPr>
          <w:p w14:paraId="6A65E652" w14:textId="77777777" w:rsidR="004217D3" w:rsidRPr="00053FD9" w:rsidRDefault="004217D3" w:rsidP="004217D3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Опрацювати лекційний матеріал, підготуватися до практичного заняття</w:t>
            </w:r>
          </w:p>
        </w:tc>
        <w:tc>
          <w:tcPr>
            <w:tcW w:w="1533" w:type="dxa"/>
            <w:gridSpan w:val="2"/>
          </w:tcPr>
          <w:p w14:paraId="6241D897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1593" w:type="dxa"/>
          </w:tcPr>
          <w:p w14:paraId="131EFBEA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14:paraId="26B2F86E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14:paraId="3AF1652F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14:paraId="59C39204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4217D3" w:rsidRPr="00C67355" w14:paraId="2C4BFD2B" w14:textId="77777777" w:rsidTr="004217D3">
        <w:tc>
          <w:tcPr>
            <w:tcW w:w="1725" w:type="dxa"/>
          </w:tcPr>
          <w:p w14:paraId="3B5B8149" w14:textId="13944B1C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 xml:space="preserve">Тема 4. </w:t>
            </w:r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 xml:space="preserve">Грантовий міжнародний дослідницький </w:t>
            </w:r>
            <w:proofErr w:type="spellStart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>проєкт</w:t>
            </w:r>
            <w:proofErr w:type="spellEnd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 xml:space="preserve">. Пошук конкурсу та </w:t>
            </w:r>
            <w:proofErr w:type="spellStart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>грантодавачів</w:t>
            </w:r>
            <w:proofErr w:type="spellEnd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 xml:space="preserve">. Перелік міжнародних грантових програм: наукова програма НАТО, CRDF </w:t>
            </w:r>
            <w:proofErr w:type="spellStart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>Global</w:t>
            </w:r>
            <w:proofErr w:type="spellEnd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>, УНТЦ. Програми транскордонного співробітництва, Вишеградська грантова програма. Інші грантові програми.</w:t>
            </w:r>
          </w:p>
        </w:tc>
        <w:tc>
          <w:tcPr>
            <w:tcW w:w="1559" w:type="dxa"/>
            <w:gridSpan w:val="2"/>
          </w:tcPr>
          <w:p w14:paraId="407BAEA0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Лекція,</w:t>
            </w:r>
          </w:p>
          <w:p w14:paraId="11DA06CE" w14:textId="77777777" w:rsidR="00976DD6" w:rsidRPr="00053FD9" w:rsidRDefault="00976DD6" w:rsidP="00976D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семінарське</w:t>
            </w:r>
          </w:p>
          <w:p w14:paraId="33CBFF81" w14:textId="7443B85E" w:rsidR="004217D3" w:rsidRPr="00053FD9" w:rsidRDefault="00976DD6" w:rsidP="00976D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заняття</w:t>
            </w:r>
          </w:p>
        </w:tc>
        <w:tc>
          <w:tcPr>
            <w:tcW w:w="1572" w:type="dxa"/>
            <w:gridSpan w:val="2"/>
          </w:tcPr>
          <w:p w14:paraId="3415C411" w14:textId="1ACB32FB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[</w:t>
            </w:r>
            <w:r w:rsidR="00B2712D">
              <w:rPr>
                <w:rFonts w:eastAsiaTheme="minorHAnsi"/>
                <w:sz w:val="22"/>
                <w:szCs w:val="22"/>
                <w:lang w:val="uk-UA" w:eastAsia="en-US"/>
              </w:rPr>
              <w:t>7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1589" w:type="dxa"/>
            <w:gridSpan w:val="2"/>
          </w:tcPr>
          <w:p w14:paraId="420F8F9A" w14:textId="77777777" w:rsidR="004217D3" w:rsidRPr="00053FD9" w:rsidRDefault="004217D3" w:rsidP="004217D3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Опрацювати лекційний матеріал, підготуватися до практичного заняття</w:t>
            </w:r>
          </w:p>
        </w:tc>
        <w:tc>
          <w:tcPr>
            <w:tcW w:w="1533" w:type="dxa"/>
            <w:gridSpan w:val="2"/>
          </w:tcPr>
          <w:p w14:paraId="6A04CF19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1593" w:type="dxa"/>
          </w:tcPr>
          <w:p w14:paraId="5589EF36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14:paraId="27AAD17F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14:paraId="5F33B7AC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14:paraId="5E1A26B6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4217D3" w:rsidRPr="00C67355" w14:paraId="1F022DE8" w14:textId="77777777" w:rsidTr="004217D3">
        <w:tc>
          <w:tcPr>
            <w:tcW w:w="1725" w:type="dxa"/>
          </w:tcPr>
          <w:p w14:paraId="7A3C276B" w14:textId="10F73B91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Тема 5. </w:t>
            </w:r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 xml:space="preserve">Рамкові програми з досліджень та інновацій ЄС. Загальна інформація: основні принципи організації наукових досліджень від ЄС. Портал учасників. Профіль організації та дослідника. Пошук </w:t>
            </w:r>
            <w:proofErr w:type="spellStart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>релеватного</w:t>
            </w:r>
            <w:proofErr w:type="spellEnd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 xml:space="preserve"> конкурсу та партнерів.</w:t>
            </w:r>
          </w:p>
        </w:tc>
        <w:tc>
          <w:tcPr>
            <w:tcW w:w="1559" w:type="dxa"/>
            <w:gridSpan w:val="2"/>
          </w:tcPr>
          <w:p w14:paraId="70C13B0A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Лекція,</w:t>
            </w:r>
          </w:p>
          <w:p w14:paraId="09FC3BA7" w14:textId="77777777" w:rsidR="00976DD6" w:rsidRPr="00053FD9" w:rsidRDefault="00976DD6" w:rsidP="00976D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семінарське</w:t>
            </w:r>
          </w:p>
          <w:p w14:paraId="49B9EEB3" w14:textId="2C8923FA" w:rsidR="004217D3" w:rsidRPr="00053FD9" w:rsidRDefault="00976DD6" w:rsidP="00976D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заняття</w:t>
            </w:r>
          </w:p>
        </w:tc>
        <w:tc>
          <w:tcPr>
            <w:tcW w:w="1572" w:type="dxa"/>
            <w:gridSpan w:val="2"/>
          </w:tcPr>
          <w:p w14:paraId="7D071AB2" w14:textId="2257D60D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[</w:t>
            </w:r>
            <w:r w:rsidR="00B2712D">
              <w:rPr>
                <w:rFonts w:eastAsiaTheme="minorHAnsi"/>
                <w:sz w:val="22"/>
                <w:szCs w:val="22"/>
                <w:lang w:val="uk-UA" w:eastAsia="en-US"/>
              </w:rPr>
              <w:t>7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1589" w:type="dxa"/>
            <w:gridSpan w:val="2"/>
          </w:tcPr>
          <w:p w14:paraId="14981E6B" w14:textId="77777777" w:rsidR="004217D3" w:rsidRPr="00053FD9" w:rsidRDefault="004217D3" w:rsidP="004217D3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Опрацювати лекційний матеріал, підготуватися до практичного заняття</w:t>
            </w:r>
          </w:p>
        </w:tc>
        <w:tc>
          <w:tcPr>
            <w:tcW w:w="1533" w:type="dxa"/>
            <w:gridSpan w:val="2"/>
          </w:tcPr>
          <w:p w14:paraId="2AD3BD2C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1593" w:type="dxa"/>
          </w:tcPr>
          <w:p w14:paraId="180D13B5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14:paraId="48B9CE9C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14:paraId="1B3817EE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14:paraId="51FAD675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4217D3" w:rsidRPr="00C67355" w14:paraId="686C0590" w14:textId="77777777" w:rsidTr="004217D3">
        <w:tc>
          <w:tcPr>
            <w:tcW w:w="1725" w:type="dxa"/>
          </w:tcPr>
          <w:p w14:paraId="31A7EA3C" w14:textId="7C50201A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Тема 6. </w:t>
            </w:r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 xml:space="preserve">Бази даних наукової інформації. Розрахунок </w:t>
            </w:r>
            <w:proofErr w:type="spellStart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>наукометричних</w:t>
            </w:r>
            <w:proofErr w:type="spellEnd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 xml:space="preserve"> індексів. Профілі науковців. Міжнародні </w:t>
            </w:r>
            <w:proofErr w:type="spellStart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>наукометричні</w:t>
            </w:r>
            <w:proofErr w:type="spellEnd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 xml:space="preserve"> бази та наукові спільноти: основні завдання, створення власного профілю. Міжнародні </w:t>
            </w:r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>наукові комунікації.</w:t>
            </w:r>
          </w:p>
        </w:tc>
        <w:tc>
          <w:tcPr>
            <w:tcW w:w="1559" w:type="dxa"/>
            <w:gridSpan w:val="2"/>
          </w:tcPr>
          <w:p w14:paraId="11D1C82E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>Лекція,</w:t>
            </w:r>
          </w:p>
          <w:p w14:paraId="4386A178" w14:textId="77777777" w:rsidR="00976DD6" w:rsidRPr="00053FD9" w:rsidRDefault="00976DD6" w:rsidP="00976D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семінарське</w:t>
            </w:r>
          </w:p>
          <w:p w14:paraId="72CC6454" w14:textId="1EED5356" w:rsidR="004217D3" w:rsidRPr="00053FD9" w:rsidRDefault="00976DD6" w:rsidP="00976D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заняття</w:t>
            </w:r>
          </w:p>
        </w:tc>
        <w:tc>
          <w:tcPr>
            <w:tcW w:w="1572" w:type="dxa"/>
            <w:gridSpan w:val="2"/>
          </w:tcPr>
          <w:p w14:paraId="2631D48B" w14:textId="464DC099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[</w:t>
            </w:r>
            <w:r w:rsidR="00B01035">
              <w:rPr>
                <w:rFonts w:eastAsiaTheme="minorHAnsi"/>
                <w:sz w:val="22"/>
                <w:szCs w:val="22"/>
                <w:lang w:val="uk-UA" w:eastAsia="en-US"/>
              </w:rPr>
              <w:t>2,</w:t>
            </w:r>
            <w:r w:rsidR="00B2712D">
              <w:rPr>
                <w:rFonts w:eastAsiaTheme="minorHAnsi"/>
                <w:sz w:val="22"/>
                <w:szCs w:val="22"/>
                <w:lang w:val="uk-UA" w:eastAsia="en-US"/>
              </w:rPr>
              <w:t>7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1589" w:type="dxa"/>
            <w:gridSpan w:val="2"/>
          </w:tcPr>
          <w:p w14:paraId="60B38CDF" w14:textId="77777777" w:rsidR="004217D3" w:rsidRPr="00053FD9" w:rsidRDefault="004217D3" w:rsidP="004217D3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Опрацювати лекційний матеріал, підготуватися до практичного заняття</w:t>
            </w:r>
          </w:p>
        </w:tc>
        <w:tc>
          <w:tcPr>
            <w:tcW w:w="1533" w:type="dxa"/>
            <w:gridSpan w:val="2"/>
          </w:tcPr>
          <w:p w14:paraId="63301F93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1593" w:type="dxa"/>
          </w:tcPr>
          <w:p w14:paraId="48383F11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14:paraId="30D841E6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14:paraId="7364DC68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14:paraId="7F688966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4217D3" w:rsidRPr="00C67355" w14:paraId="5AA1D5E3" w14:textId="77777777" w:rsidTr="004217D3">
        <w:tc>
          <w:tcPr>
            <w:tcW w:w="1725" w:type="dxa"/>
          </w:tcPr>
          <w:p w14:paraId="131E5ABA" w14:textId="29A8E209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 xml:space="preserve">Тема 7. </w:t>
            </w:r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>Наукова публікація: поняття, функції, основні види. Поняття та функції наукових публікацій. Основні види наукових публікацій. Структура наукових публікацій.</w:t>
            </w:r>
          </w:p>
        </w:tc>
        <w:tc>
          <w:tcPr>
            <w:tcW w:w="1559" w:type="dxa"/>
            <w:gridSpan w:val="2"/>
          </w:tcPr>
          <w:p w14:paraId="0E8B5D40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Лекція,</w:t>
            </w:r>
          </w:p>
          <w:p w14:paraId="2B242FB7" w14:textId="77777777" w:rsidR="00976DD6" w:rsidRPr="00053FD9" w:rsidRDefault="00976DD6" w:rsidP="00976D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семінарське</w:t>
            </w:r>
          </w:p>
          <w:p w14:paraId="13852543" w14:textId="26475234" w:rsidR="004217D3" w:rsidRPr="00053FD9" w:rsidRDefault="00976DD6" w:rsidP="00976D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заняття</w:t>
            </w:r>
          </w:p>
        </w:tc>
        <w:tc>
          <w:tcPr>
            <w:tcW w:w="1572" w:type="dxa"/>
            <w:gridSpan w:val="2"/>
          </w:tcPr>
          <w:p w14:paraId="75F339FA" w14:textId="52C10815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[2, 3,</w:t>
            </w:r>
            <w:r w:rsidRPr="00053FD9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4, </w:t>
            </w:r>
            <w:r w:rsidRPr="00053FD9">
              <w:rPr>
                <w:rFonts w:eastAsiaTheme="minorHAnsi"/>
                <w:sz w:val="22"/>
                <w:szCs w:val="22"/>
                <w:lang w:val="en-US" w:eastAsia="en-US"/>
              </w:rPr>
              <w:t>5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, </w:t>
            </w:r>
            <w:r w:rsidR="00B2712D">
              <w:rPr>
                <w:rFonts w:eastAsiaTheme="minorHAnsi"/>
                <w:sz w:val="22"/>
                <w:szCs w:val="22"/>
                <w:lang w:val="uk-UA" w:eastAsia="en-US"/>
              </w:rPr>
              <w:t>7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1589" w:type="dxa"/>
            <w:gridSpan w:val="2"/>
          </w:tcPr>
          <w:p w14:paraId="0F042655" w14:textId="77777777" w:rsidR="004217D3" w:rsidRPr="00053FD9" w:rsidRDefault="004217D3" w:rsidP="004217D3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Опрацювати лекційний матеріал, підготуватися до практичного заняття</w:t>
            </w:r>
          </w:p>
        </w:tc>
        <w:tc>
          <w:tcPr>
            <w:tcW w:w="1533" w:type="dxa"/>
            <w:gridSpan w:val="2"/>
          </w:tcPr>
          <w:p w14:paraId="2D3F3DC2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1593" w:type="dxa"/>
          </w:tcPr>
          <w:p w14:paraId="6E30FBC3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14:paraId="68376232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14:paraId="2FBF09D5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14:paraId="4EE8F8E9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4217D3" w:rsidRPr="00C67355" w14:paraId="474F12C7" w14:textId="77777777" w:rsidTr="004217D3">
        <w:tc>
          <w:tcPr>
            <w:tcW w:w="1725" w:type="dxa"/>
          </w:tcPr>
          <w:p w14:paraId="0D975E1A" w14:textId="1AFD132A" w:rsidR="004217D3" w:rsidRPr="00EC0806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Тема 8. </w:t>
            </w:r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>Комерціалізація результатів наукової діяльності. Об’єкти права інтелектуальної власності та їх зв’язок із науковими дослідженнями. Система захисту прав інтелектуальної власності в Україні та світі. Патентування, як один із етапів комерціалізації наукових досліджень. Управління циклом комерціалізації розробок. Фандрайзинг, акселератори, інкубатори бізнесу, бізнес-ангели, стартапи та ін., як методи менеджменту у системі комерціалізації розробок.</w:t>
            </w:r>
          </w:p>
        </w:tc>
        <w:tc>
          <w:tcPr>
            <w:tcW w:w="1559" w:type="dxa"/>
            <w:gridSpan w:val="2"/>
          </w:tcPr>
          <w:p w14:paraId="0301CFDC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Лекція</w:t>
            </w:r>
          </w:p>
        </w:tc>
        <w:tc>
          <w:tcPr>
            <w:tcW w:w="1572" w:type="dxa"/>
            <w:gridSpan w:val="2"/>
          </w:tcPr>
          <w:p w14:paraId="778FD82D" w14:textId="772DDE28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[</w:t>
            </w:r>
            <w:r w:rsidR="00B2712D">
              <w:rPr>
                <w:rFonts w:eastAsiaTheme="minorHAnsi"/>
                <w:sz w:val="22"/>
                <w:szCs w:val="22"/>
                <w:lang w:val="uk-UA" w:eastAsia="en-US"/>
              </w:rPr>
              <w:t>7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1589" w:type="dxa"/>
            <w:gridSpan w:val="2"/>
          </w:tcPr>
          <w:p w14:paraId="64652B76" w14:textId="77777777" w:rsidR="004217D3" w:rsidRPr="00053FD9" w:rsidRDefault="004217D3" w:rsidP="004217D3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1533" w:type="dxa"/>
            <w:gridSpan w:val="2"/>
          </w:tcPr>
          <w:p w14:paraId="18413B0A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1593" w:type="dxa"/>
          </w:tcPr>
          <w:p w14:paraId="1982BB10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</w:tr>
      <w:tr w:rsidR="004217D3" w:rsidRPr="00C67355" w14:paraId="228D42CA" w14:textId="77777777" w:rsidTr="004217D3">
        <w:tc>
          <w:tcPr>
            <w:tcW w:w="1725" w:type="dxa"/>
          </w:tcPr>
          <w:p w14:paraId="3F903E73" w14:textId="77777777" w:rsidR="004217D3" w:rsidRPr="00053FD9" w:rsidRDefault="004217D3" w:rsidP="004217D3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053FD9">
              <w:rPr>
                <w:rFonts w:eastAsiaTheme="minorHAnsi"/>
                <w:sz w:val="22"/>
                <w:szCs w:val="22"/>
                <w:lang w:val="en-US" w:eastAsia="en-US"/>
              </w:rPr>
              <w:t>Підсумкове</w:t>
            </w:r>
            <w:proofErr w:type="spellEnd"/>
            <w:r w:rsidRPr="00053FD9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53FD9">
              <w:rPr>
                <w:rFonts w:eastAsiaTheme="minorHAnsi"/>
                <w:sz w:val="22"/>
                <w:szCs w:val="22"/>
                <w:lang w:val="en-US" w:eastAsia="en-US"/>
              </w:rPr>
              <w:t>заняття</w:t>
            </w:r>
            <w:proofErr w:type="spellEnd"/>
          </w:p>
        </w:tc>
        <w:tc>
          <w:tcPr>
            <w:tcW w:w="1559" w:type="dxa"/>
            <w:gridSpan w:val="2"/>
          </w:tcPr>
          <w:p w14:paraId="1BB899AC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Підсумкова робота</w:t>
            </w:r>
          </w:p>
        </w:tc>
        <w:tc>
          <w:tcPr>
            <w:tcW w:w="1572" w:type="dxa"/>
            <w:gridSpan w:val="2"/>
          </w:tcPr>
          <w:p w14:paraId="13EC1170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1589" w:type="dxa"/>
            <w:gridSpan w:val="2"/>
          </w:tcPr>
          <w:p w14:paraId="6265A0C5" w14:textId="77777777" w:rsidR="004217D3" w:rsidRPr="00053FD9" w:rsidRDefault="004217D3" w:rsidP="004217D3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1533" w:type="dxa"/>
            <w:gridSpan w:val="2"/>
          </w:tcPr>
          <w:p w14:paraId="6FD59069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30</w:t>
            </w:r>
          </w:p>
        </w:tc>
        <w:tc>
          <w:tcPr>
            <w:tcW w:w="1593" w:type="dxa"/>
          </w:tcPr>
          <w:p w14:paraId="6F120D18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</w:tr>
      <w:tr w:rsidR="004217D3" w:rsidRPr="00C67355" w14:paraId="03CC6D22" w14:textId="77777777" w:rsidTr="00102F6A">
        <w:tc>
          <w:tcPr>
            <w:tcW w:w="9571" w:type="dxa"/>
            <w:gridSpan w:val="10"/>
          </w:tcPr>
          <w:p w14:paraId="2047F69B" w14:textId="77777777" w:rsidR="004217D3" w:rsidRPr="00151BC4" w:rsidRDefault="004217D3" w:rsidP="004217D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4217D3" w:rsidRPr="00C67355" w14:paraId="6E324B60" w14:textId="77777777" w:rsidTr="004217D3">
        <w:tc>
          <w:tcPr>
            <w:tcW w:w="3284" w:type="dxa"/>
            <w:gridSpan w:val="3"/>
          </w:tcPr>
          <w:p w14:paraId="54835624" w14:textId="77777777" w:rsidR="004217D3" w:rsidRPr="00151BC4" w:rsidRDefault="004217D3" w:rsidP="004217D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287" w:type="dxa"/>
            <w:gridSpan w:val="7"/>
          </w:tcPr>
          <w:p w14:paraId="4D8C8409" w14:textId="27A6E81E" w:rsidR="004217D3" w:rsidRPr="00976DD6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53FD9">
              <w:rPr>
                <w:rFonts w:eastAsiaTheme="minorHAnsi"/>
                <w:b/>
                <w:bCs/>
                <w:sz w:val="22"/>
                <w:szCs w:val="22"/>
                <w:lang w:val="uk-UA" w:eastAsia="en-US"/>
              </w:rPr>
              <w:t xml:space="preserve">100 бальна </w:t>
            </w:r>
            <w:r w:rsidR="00EC0806">
              <w:rPr>
                <w:rFonts w:eastAsiaTheme="minorHAnsi"/>
                <w:sz w:val="22"/>
                <w:szCs w:val="22"/>
                <w:lang w:val="uk-UA" w:eastAsia="en-US"/>
              </w:rPr>
              <w:t>60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 протягом семестру </w:t>
            </w:r>
            <w:r w:rsidR="00EC0806">
              <w:rPr>
                <w:rFonts w:eastAsiaTheme="minorHAnsi"/>
                <w:sz w:val="22"/>
                <w:szCs w:val="22"/>
                <w:lang w:val="uk-UA" w:eastAsia="en-US"/>
              </w:rPr>
              <w:t>4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0 на залік</w:t>
            </w:r>
            <w:r w:rsidRPr="00976DD6">
              <w:rPr>
                <w:rFonts w:eastAsiaTheme="minorHAnsi"/>
                <w:sz w:val="22"/>
                <w:szCs w:val="22"/>
                <w:lang w:eastAsia="en-US"/>
              </w:rPr>
              <w:t>:</w:t>
            </w:r>
          </w:p>
          <w:p w14:paraId="22B228C2" w14:textId="1D620C1D" w:rsidR="004217D3" w:rsidRDefault="00EC0806" w:rsidP="004217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uk-UA" w:eastAsia="en-US"/>
              </w:rPr>
              <w:t>60</w:t>
            </w:r>
            <w:r w:rsidR="004217D3" w:rsidRPr="0054145F">
              <w:rPr>
                <w:rFonts w:eastAsiaTheme="minorHAnsi"/>
                <w:b/>
                <w:sz w:val="22"/>
                <w:szCs w:val="22"/>
                <w:lang w:val="uk-UA" w:eastAsia="en-US"/>
              </w:rPr>
              <w:t xml:space="preserve"> балів</w:t>
            </w:r>
            <w:r w:rsidR="004217D3">
              <w:rPr>
                <w:rFonts w:eastAsiaTheme="minorHAnsi"/>
                <w:sz w:val="22"/>
                <w:szCs w:val="22"/>
                <w:lang w:val="uk-UA" w:eastAsia="en-US"/>
              </w:rPr>
              <w:t xml:space="preserve"> підсумовуються за виконані завдання:</w:t>
            </w:r>
          </w:p>
          <w:p w14:paraId="27D26C00" w14:textId="317ADC70" w:rsidR="004217D3" w:rsidRDefault="004217D3" w:rsidP="004217D3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Тема «Аргументація у науковому дослідженні» - </w:t>
            </w:r>
            <w:r w:rsidRPr="0054145F">
              <w:rPr>
                <w:rFonts w:eastAsiaTheme="minorHAnsi"/>
                <w:b/>
                <w:sz w:val="22"/>
                <w:szCs w:val="22"/>
                <w:lang w:val="uk-UA" w:eastAsia="en-US"/>
              </w:rPr>
              <w:t>1</w:t>
            </w:r>
            <w:r w:rsidR="00EC0806">
              <w:rPr>
                <w:rFonts w:eastAsiaTheme="minorHAnsi"/>
                <w:b/>
                <w:sz w:val="22"/>
                <w:szCs w:val="22"/>
                <w:lang w:val="uk-UA" w:eastAsia="en-US"/>
              </w:rPr>
              <w:t>5</w:t>
            </w:r>
            <w:r w:rsidRPr="0054145F">
              <w:rPr>
                <w:rFonts w:eastAsiaTheme="minorHAnsi"/>
                <w:b/>
                <w:sz w:val="22"/>
                <w:szCs w:val="22"/>
                <w:lang w:val="uk-UA" w:eastAsia="en-US"/>
              </w:rPr>
              <w:t xml:space="preserve"> балів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.</w:t>
            </w:r>
          </w:p>
          <w:p w14:paraId="4E860774" w14:textId="0B2755FD" w:rsidR="004217D3" w:rsidRDefault="004217D3" w:rsidP="004217D3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Тема: «Формулювання огляду літератури з вказаної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 xml:space="preserve">проблеми» - </w:t>
            </w:r>
            <w:r w:rsidRPr="0054145F">
              <w:rPr>
                <w:rFonts w:eastAsiaTheme="minorHAnsi"/>
                <w:b/>
                <w:sz w:val="22"/>
                <w:szCs w:val="22"/>
                <w:lang w:val="uk-UA" w:eastAsia="en-US"/>
              </w:rPr>
              <w:t>1</w:t>
            </w:r>
            <w:r w:rsidR="00EC0806">
              <w:rPr>
                <w:rFonts w:eastAsiaTheme="minorHAnsi"/>
                <w:b/>
                <w:sz w:val="22"/>
                <w:szCs w:val="22"/>
                <w:lang w:val="uk-UA" w:eastAsia="en-US"/>
              </w:rPr>
              <w:t>5</w:t>
            </w:r>
            <w:r w:rsidRPr="0054145F">
              <w:rPr>
                <w:rFonts w:eastAsiaTheme="minorHAnsi"/>
                <w:b/>
                <w:sz w:val="22"/>
                <w:szCs w:val="22"/>
                <w:lang w:val="uk-UA" w:eastAsia="en-US"/>
              </w:rPr>
              <w:t xml:space="preserve"> балів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.</w:t>
            </w:r>
          </w:p>
          <w:p w14:paraId="06D8C39D" w14:textId="3666CE07" w:rsidR="004217D3" w:rsidRDefault="004217D3" w:rsidP="004217D3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Тема «Формулювання мети, об</w:t>
            </w:r>
            <w:r w:rsidRPr="00976DD6">
              <w:rPr>
                <w:rFonts w:eastAsiaTheme="minorHAnsi"/>
                <w:sz w:val="22"/>
                <w:szCs w:val="22"/>
                <w:lang w:eastAsia="en-US"/>
              </w:rPr>
              <w:t>’</w:t>
            </w:r>
            <w:proofErr w:type="spellStart"/>
            <w:r>
              <w:rPr>
                <w:rFonts w:eastAsiaTheme="minorHAnsi"/>
                <w:sz w:val="22"/>
                <w:szCs w:val="22"/>
                <w:lang w:val="uk-UA" w:eastAsia="en-US"/>
              </w:rPr>
              <w:t>єкту</w:t>
            </w:r>
            <w:proofErr w:type="spellEnd"/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і </w:t>
            </w:r>
            <w:proofErr w:type="spellStart"/>
            <w:r>
              <w:rPr>
                <w:rFonts w:eastAsiaTheme="minorHAnsi"/>
                <w:sz w:val="22"/>
                <w:szCs w:val="22"/>
                <w:lang w:val="uk-UA" w:eastAsia="en-US"/>
              </w:rPr>
              <w:t>суб</w:t>
            </w:r>
            <w:proofErr w:type="spellEnd"/>
            <w:r w:rsidRPr="00976DD6">
              <w:rPr>
                <w:rFonts w:eastAsiaTheme="minorHAnsi"/>
                <w:sz w:val="22"/>
                <w:szCs w:val="22"/>
                <w:lang w:eastAsia="en-US"/>
              </w:rPr>
              <w:t>’</w:t>
            </w:r>
            <w:proofErr w:type="spellStart"/>
            <w:r>
              <w:rPr>
                <w:rFonts w:eastAsiaTheme="minorHAnsi"/>
                <w:sz w:val="22"/>
                <w:szCs w:val="22"/>
                <w:lang w:val="uk-UA" w:eastAsia="en-US"/>
              </w:rPr>
              <w:t>єкту</w:t>
            </w:r>
            <w:proofErr w:type="spellEnd"/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дослідження» - </w:t>
            </w:r>
            <w:r w:rsidRPr="0054145F">
              <w:rPr>
                <w:rFonts w:eastAsiaTheme="minorHAnsi"/>
                <w:b/>
                <w:sz w:val="22"/>
                <w:szCs w:val="22"/>
                <w:lang w:val="uk-UA" w:eastAsia="en-US"/>
              </w:rPr>
              <w:t>1</w:t>
            </w:r>
            <w:r w:rsidR="00EC0806">
              <w:rPr>
                <w:rFonts w:eastAsiaTheme="minorHAnsi"/>
                <w:b/>
                <w:sz w:val="22"/>
                <w:szCs w:val="22"/>
                <w:lang w:val="uk-UA" w:eastAsia="en-US"/>
              </w:rPr>
              <w:t>5</w:t>
            </w:r>
            <w:r w:rsidRPr="0054145F">
              <w:rPr>
                <w:rFonts w:eastAsiaTheme="minorHAnsi"/>
                <w:b/>
                <w:sz w:val="22"/>
                <w:szCs w:val="22"/>
                <w:lang w:val="uk-UA" w:eastAsia="en-US"/>
              </w:rPr>
              <w:t xml:space="preserve"> балів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. </w:t>
            </w:r>
          </w:p>
          <w:p w14:paraId="44D502AD" w14:textId="4A25FACC" w:rsidR="004217D3" w:rsidRPr="0054145F" w:rsidRDefault="004217D3" w:rsidP="004217D3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Тема «</w:t>
            </w:r>
            <w:r w:rsidR="00EC0806">
              <w:rPr>
                <w:rFonts w:eastAsiaTheme="minorHAnsi"/>
                <w:sz w:val="22"/>
                <w:szCs w:val="22"/>
                <w:lang w:val="uk-UA" w:eastAsia="en-US"/>
              </w:rPr>
              <w:t>Бюджет наукового проекту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» - </w:t>
            </w:r>
            <w:r w:rsidRPr="0054145F">
              <w:rPr>
                <w:rFonts w:eastAsiaTheme="minorHAnsi"/>
                <w:b/>
                <w:sz w:val="22"/>
                <w:szCs w:val="22"/>
                <w:lang w:val="uk-UA" w:eastAsia="en-US"/>
              </w:rPr>
              <w:t>1</w:t>
            </w:r>
            <w:r w:rsidR="00EC0806">
              <w:rPr>
                <w:rFonts w:eastAsiaTheme="minorHAnsi"/>
                <w:b/>
                <w:sz w:val="22"/>
                <w:szCs w:val="22"/>
                <w:lang w:val="uk-UA" w:eastAsia="en-US"/>
              </w:rPr>
              <w:t>5</w:t>
            </w:r>
            <w:r w:rsidRPr="0054145F">
              <w:rPr>
                <w:rFonts w:eastAsiaTheme="minorHAnsi"/>
                <w:b/>
                <w:sz w:val="22"/>
                <w:szCs w:val="22"/>
                <w:lang w:val="uk-UA" w:eastAsia="en-US"/>
              </w:rPr>
              <w:t xml:space="preserve"> балів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.</w:t>
            </w:r>
          </w:p>
          <w:p w14:paraId="3AD479DE" w14:textId="7395C9F7" w:rsidR="004217D3" w:rsidRPr="00053FD9" w:rsidRDefault="004217D3" w:rsidP="004217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На </w:t>
            </w:r>
            <w:r w:rsidR="00EC0806">
              <w:rPr>
                <w:rFonts w:eastAsiaTheme="minorHAnsi"/>
                <w:b/>
                <w:sz w:val="22"/>
                <w:szCs w:val="22"/>
                <w:lang w:val="uk-UA" w:eastAsia="en-US"/>
              </w:rPr>
              <w:t>4</w:t>
            </w:r>
            <w:r w:rsidRPr="0054145F">
              <w:rPr>
                <w:rFonts w:eastAsiaTheme="minorHAnsi"/>
                <w:b/>
                <w:sz w:val="22"/>
                <w:szCs w:val="22"/>
                <w:lang w:val="uk-UA" w:eastAsia="en-US"/>
              </w:rPr>
              <w:t>0 балів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– оцінюється виконання тестів у системі дистанційного навчання.</w:t>
            </w:r>
          </w:p>
          <w:p w14:paraId="04541D62" w14:textId="77777777" w:rsidR="004217D3" w:rsidRPr="00976DD6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29F7E303" w14:textId="77777777" w:rsidR="004217D3" w:rsidRPr="00053FD9" w:rsidRDefault="004217D3" w:rsidP="004217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b/>
                <w:bCs/>
                <w:sz w:val="22"/>
                <w:szCs w:val="22"/>
                <w:lang w:val="uk-UA" w:eastAsia="en-US"/>
              </w:rPr>
              <w:t xml:space="preserve">Зараховано-“відмінно” 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– студент демонструє повні і</w:t>
            </w:r>
            <w:r w:rsidRPr="00976DD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глибокі знання навчального матеріалу, достовірний рівень розвитку умінь та навичок, правильне й обґрунтоване формулювання практичних висновків, наводить повний обґрунтований розв’язок прикладів та задач, аналізує причинно-наслідкові зв’язки; вільно володіє науковими термінами;</w:t>
            </w:r>
          </w:p>
          <w:p w14:paraId="25CCBC96" w14:textId="77777777" w:rsidR="004217D3" w:rsidRPr="00053FD9" w:rsidRDefault="004217D3" w:rsidP="004217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b/>
                <w:bCs/>
                <w:sz w:val="22"/>
                <w:szCs w:val="22"/>
                <w:lang w:val="uk-UA" w:eastAsia="en-US"/>
              </w:rPr>
              <w:t xml:space="preserve">Зараховано-“добре” 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– студент демонструє повні знання</w:t>
            </w:r>
            <w:r w:rsidRPr="00976DD6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навчального матеріалу, але допускає незначні пропуски</w:t>
            </w:r>
            <w:r w:rsidRPr="00976DD6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фактичного матеріалу, вміє застосувати його до розв’язання</w:t>
            </w:r>
            <w:r w:rsidRPr="00976DD6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конкретних прикладів та задач, у деяких випадках нечітко</w:t>
            </w:r>
            <w:r w:rsidRPr="00976DD6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формулює загалом правильні відповіді, допускає окремі несуттєві помилки та неточності розв’язках;</w:t>
            </w:r>
          </w:p>
          <w:p w14:paraId="3A6B9FCF" w14:textId="77777777" w:rsidR="004217D3" w:rsidRPr="00053FD9" w:rsidRDefault="004217D3" w:rsidP="004217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b/>
                <w:bCs/>
                <w:sz w:val="22"/>
                <w:szCs w:val="22"/>
                <w:lang w:val="uk-UA" w:eastAsia="en-US"/>
              </w:rPr>
              <w:t xml:space="preserve">Зараховано-“задовільно” 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– студент володіє більшою</w:t>
            </w:r>
            <w:r w:rsidRPr="00976DD6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частиною фактичного матеріалу, але викладає його не досить послідовно і логічно, допускає істотні пропуски у відповіді, не завжди вміє правильно застосувати набуті знання до розв’язання конкретних прикладів та задач, нечітко, а інколи й невірно формулює основні твердження та причинно-наслідкові зв’язки;</w:t>
            </w:r>
          </w:p>
          <w:p w14:paraId="4DDE8F75" w14:textId="77777777" w:rsidR="004217D3" w:rsidRPr="00C67355" w:rsidRDefault="004217D3" w:rsidP="004217D3">
            <w:pPr>
              <w:jc w:val="both"/>
              <w:rPr>
                <w:lang w:val="uk-UA"/>
              </w:rPr>
            </w:pPr>
            <w:proofErr w:type="spellStart"/>
            <w:r w:rsidRPr="00053FD9">
              <w:rPr>
                <w:rFonts w:eastAsiaTheme="minorHAnsi"/>
                <w:b/>
                <w:bCs/>
                <w:sz w:val="22"/>
                <w:szCs w:val="22"/>
                <w:lang w:val="uk-UA" w:eastAsia="en-US"/>
              </w:rPr>
              <w:t>Незараховано</w:t>
            </w:r>
            <w:proofErr w:type="spellEnd"/>
            <w:r w:rsidRPr="00053FD9">
              <w:rPr>
                <w:rFonts w:eastAsiaTheme="minorHAnsi"/>
                <w:b/>
                <w:bCs/>
                <w:sz w:val="22"/>
                <w:szCs w:val="22"/>
                <w:lang w:val="uk-UA" w:eastAsia="en-US"/>
              </w:rPr>
              <w:t xml:space="preserve"> 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– студент не володіє достатнім рівнем</w:t>
            </w:r>
            <w:r w:rsidRPr="00976DD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необхідних знань, умінь, навичок, науковими термінами</w:t>
            </w:r>
          </w:p>
        </w:tc>
      </w:tr>
      <w:tr w:rsidR="004217D3" w:rsidRPr="00C67355" w14:paraId="10BADB3A" w14:textId="77777777" w:rsidTr="004217D3">
        <w:tc>
          <w:tcPr>
            <w:tcW w:w="3284" w:type="dxa"/>
            <w:gridSpan w:val="3"/>
          </w:tcPr>
          <w:p w14:paraId="1A8293D8" w14:textId="77777777" w:rsidR="004217D3" w:rsidRPr="00151BC4" w:rsidRDefault="004217D3" w:rsidP="004217D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6287" w:type="dxa"/>
            <w:gridSpan w:val="7"/>
          </w:tcPr>
          <w:p w14:paraId="1E6E8396" w14:textId="77777777" w:rsidR="004217D3" w:rsidRPr="00C67355" w:rsidRDefault="004217D3" w:rsidP="004217D3">
            <w:pPr>
              <w:jc w:val="both"/>
              <w:rPr>
                <w:lang w:val="uk-UA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 проводиться з метою формування у студентів умінь і навичок з предмету, вирішення сформульованих завдань, їх перевірка та оцінювання.. За метою і структурою практичні заняття є ланцюжком, який пов'язує теоретичне навчання і навчальну практику з дисципліни, а також передбачає попередній контроль знань студентів. Оцінка за практичне заняття враховується при виставлення підсумкової оцінки з дисципліни</w:t>
            </w:r>
          </w:p>
        </w:tc>
      </w:tr>
      <w:tr w:rsidR="004217D3" w:rsidRPr="00C67355" w14:paraId="5FA5E0D0" w14:textId="77777777" w:rsidTr="004217D3">
        <w:tc>
          <w:tcPr>
            <w:tcW w:w="3284" w:type="dxa"/>
            <w:gridSpan w:val="3"/>
          </w:tcPr>
          <w:p w14:paraId="6B78E95A" w14:textId="77777777" w:rsidR="004217D3" w:rsidRPr="00151BC4" w:rsidRDefault="004217D3" w:rsidP="004217D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287" w:type="dxa"/>
            <w:gridSpan w:val="7"/>
          </w:tcPr>
          <w:p w14:paraId="189D251F" w14:textId="77777777" w:rsidR="004217D3" w:rsidRPr="00C67355" w:rsidRDefault="004217D3" w:rsidP="004217D3">
            <w:pPr>
              <w:jc w:val="both"/>
              <w:rPr>
                <w:lang w:val="uk-UA"/>
              </w:rPr>
            </w:pPr>
          </w:p>
        </w:tc>
      </w:tr>
      <w:tr w:rsidR="004217D3" w:rsidRPr="00C67355" w14:paraId="549D52D1" w14:textId="77777777" w:rsidTr="004217D3">
        <w:tc>
          <w:tcPr>
            <w:tcW w:w="3284" w:type="dxa"/>
            <w:gridSpan w:val="3"/>
          </w:tcPr>
          <w:p w14:paraId="79AE817F" w14:textId="77777777" w:rsidR="004217D3" w:rsidRPr="00151BC4" w:rsidRDefault="004217D3" w:rsidP="004217D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287" w:type="dxa"/>
            <w:gridSpan w:val="7"/>
          </w:tcPr>
          <w:p w14:paraId="36AAE198" w14:textId="77777777" w:rsidR="004217D3" w:rsidRPr="00C67355" w:rsidRDefault="004217D3" w:rsidP="004217D3">
            <w:pPr>
              <w:jc w:val="both"/>
              <w:rPr>
                <w:lang w:val="uk-UA"/>
              </w:rPr>
            </w:pPr>
          </w:p>
        </w:tc>
      </w:tr>
      <w:tr w:rsidR="004217D3" w:rsidRPr="00C67355" w14:paraId="4EC36E0D" w14:textId="77777777" w:rsidTr="006E109E">
        <w:tc>
          <w:tcPr>
            <w:tcW w:w="9571" w:type="dxa"/>
            <w:gridSpan w:val="10"/>
          </w:tcPr>
          <w:p w14:paraId="327F0A85" w14:textId="77777777" w:rsidR="004217D3" w:rsidRPr="00483A45" w:rsidRDefault="004217D3" w:rsidP="004217D3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Pr="00483A45">
              <w:rPr>
                <w:b/>
                <w:lang w:val="uk-UA"/>
              </w:rPr>
              <w:t>. Політика курсу</w:t>
            </w:r>
          </w:p>
        </w:tc>
      </w:tr>
      <w:tr w:rsidR="004217D3" w:rsidRPr="00212374" w14:paraId="2A27EE56" w14:textId="77777777" w:rsidTr="007205A6">
        <w:tc>
          <w:tcPr>
            <w:tcW w:w="9571" w:type="dxa"/>
            <w:gridSpan w:val="10"/>
          </w:tcPr>
          <w:p w14:paraId="3A61CB7B" w14:textId="77777777" w:rsidR="004217D3" w:rsidRPr="00053FD9" w:rsidRDefault="004217D3" w:rsidP="004217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- самостійне виконання навчальних завдань, завдань поточного та підсумкового контролю результатів навчання (для осіб з особливими освітніми потребами ця вимога застосовується з урахуванням їхніх індивідуальних потреб і можливостей);</w:t>
            </w:r>
          </w:p>
          <w:p w14:paraId="54C7F098" w14:textId="77777777" w:rsidR="004217D3" w:rsidRPr="00053FD9" w:rsidRDefault="004217D3" w:rsidP="004217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- посилання на джерела інформації у разі використання ідей, розробок, тверджень, відомостей;</w:t>
            </w:r>
          </w:p>
          <w:p w14:paraId="1565D8EE" w14:textId="77777777" w:rsidR="004217D3" w:rsidRPr="00053FD9" w:rsidRDefault="004217D3" w:rsidP="004217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- надання достовірної інформації про результати власної навчальної (наукової, творчої) діяльності, використані методики досліджень і джерела інформації».</w:t>
            </w:r>
          </w:p>
          <w:p w14:paraId="7F3FD08A" w14:textId="77126DE9" w:rsidR="004217D3" w:rsidRPr="00053FD9" w:rsidRDefault="004217D3" w:rsidP="004217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Засвоєння пропущеної теми лекції з поважної причини перевіряється під час складання підсумкового контролю. Пропуск лекції з неповажної причини відпрацьовується студентом відповідно вимог (</w:t>
            </w:r>
            <w:r w:rsidR="00EC0806">
              <w:rPr>
                <w:rFonts w:eastAsiaTheme="minorHAnsi"/>
                <w:sz w:val="22"/>
                <w:szCs w:val="22"/>
                <w:lang w:val="uk-UA" w:eastAsia="en-US"/>
              </w:rPr>
              <w:t>опрацювання робочого матеріалу,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 тощо).</w:t>
            </w:r>
          </w:p>
          <w:p w14:paraId="4E30332C" w14:textId="38993668" w:rsidR="004217D3" w:rsidRPr="00483A45" w:rsidRDefault="004217D3" w:rsidP="004217D3">
            <w:pPr>
              <w:jc w:val="both"/>
              <w:rPr>
                <w:lang w:val="uk-UA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Пропущені семінарські заняття, незалежно від причини пропуску, відпрацьову</w:t>
            </w:r>
            <w:r w:rsidR="000149E6">
              <w:rPr>
                <w:rFonts w:eastAsiaTheme="minorHAnsi"/>
                <w:sz w:val="22"/>
                <w:szCs w:val="22"/>
                <w:lang w:val="uk-UA" w:eastAsia="en-US"/>
              </w:rPr>
              <w:t>ються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 згідно з графіком консультацій</w:t>
            </w:r>
            <w:r w:rsidR="000149E6">
              <w:rPr>
                <w:rFonts w:eastAsiaTheme="minorHAnsi"/>
                <w:sz w:val="22"/>
                <w:szCs w:val="22"/>
                <w:lang w:val="uk-UA" w:eastAsia="en-US"/>
              </w:rPr>
              <w:t>.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 Поточні </w:t>
            </w:r>
            <w:r w:rsidR="000149E6">
              <w:rPr>
                <w:rFonts w:eastAsiaTheme="minorHAnsi"/>
                <w:sz w:val="22"/>
                <w:szCs w:val="22"/>
                <w:lang w:val="uk-UA" w:eastAsia="en-US"/>
              </w:rPr>
              <w:t>негативні бали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, отримані </w:t>
            </w:r>
            <w:r w:rsidR="000149E6">
              <w:rPr>
                <w:rFonts w:eastAsiaTheme="minorHAnsi"/>
                <w:sz w:val="22"/>
                <w:szCs w:val="22"/>
                <w:lang w:val="uk-UA" w:eastAsia="en-US"/>
              </w:rPr>
              <w:t>аспірантом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 під час засвоєння відповідної теми на семінарському занятті перескладаються викладачеві, який веде заняття до складання підсумкового контролю з обов'язковою відміткою у журналі обліку роботи академічних груп.</w:t>
            </w:r>
          </w:p>
        </w:tc>
      </w:tr>
      <w:tr w:rsidR="004217D3" w:rsidRPr="00C67355" w14:paraId="67D5C8D9" w14:textId="77777777" w:rsidTr="005C7D7E">
        <w:tc>
          <w:tcPr>
            <w:tcW w:w="9571" w:type="dxa"/>
            <w:gridSpan w:val="10"/>
          </w:tcPr>
          <w:p w14:paraId="58EF1A6E" w14:textId="77777777" w:rsidR="004217D3" w:rsidRPr="00151BC4" w:rsidRDefault="004217D3" w:rsidP="004217D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9.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4217D3" w:rsidRPr="00C67355" w14:paraId="186F9734" w14:textId="77777777" w:rsidTr="006B6FC5">
        <w:tc>
          <w:tcPr>
            <w:tcW w:w="9571" w:type="dxa"/>
            <w:gridSpan w:val="10"/>
          </w:tcPr>
          <w:p w14:paraId="0F871356" w14:textId="7FC31DEB" w:rsidR="00E0619D" w:rsidRDefault="00E0619D" w:rsidP="00E0619D">
            <w:pPr>
              <w:numPr>
                <w:ilvl w:val="0"/>
                <w:numId w:val="9"/>
              </w:numPr>
              <w:tabs>
                <w:tab w:val="left" w:pos="567"/>
              </w:tabs>
              <w:jc w:val="both"/>
            </w:pPr>
            <w:proofErr w:type="spellStart"/>
            <w:r w:rsidRPr="009A417C">
              <w:t>Конверський</w:t>
            </w:r>
            <w:proofErr w:type="spellEnd"/>
            <w:r w:rsidRPr="009A417C">
              <w:t xml:space="preserve"> А.Є. </w:t>
            </w:r>
            <w:proofErr w:type="spellStart"/>
            <w:r w:rsidRPr="009A417C">
              <w:t>Основи</w:t>
            </w:r>
            <w:proofErr w:type="spellEnd"/>
            <w:r w:rsidRPr="009A417C">
              <w:t xml:space="preserve"> </w:t>
            </w:r>
            <w:proofErr w:type="spellStart"/>
            <w:r w:rsidRPr="009A417C">
              <w:t>методології</w:t>
            </w:r>
            <w:proofErr w:type="spellEnd"/>
            <w:r w:rsidRPr="009A417C">
              <w:t xml:space="preserve"> та </w:t>
            </w:r>
            <w:proofErr w:type="spellStart"/>
            <w:r w:rsidRPr="009A417C">
              <w:t>організації</w:t>
            </w:r>
            <w:proofErr w:type="spellEnd"/>
            <w:r w:rsidRPr="009A417C">
              <w:t xml:space="preserve"> </w:t>
            </w:r>
            <w:proofErr w:type="spellStart"/>
            <w:r w:rsidRPr="009A417C">
              <w:t>наукових</w:t>
            </w:r>
            <w:proofErr w:type="spellEnd"/>
            <w:r w:rsidRPr="009A417C">
              <w:t xml:space="preserve"> </w:t>
            </w:r>
            <w:proofErr w:type="spellStart"/>
            <w:r w:rsidRPr="009A417C">
              <w:t>досліджень</w:t>
            </w:r>
            <w:proofErr w:type="spellEnd"/>
            <w:r w:rsidRPr="009A417C">
              <w:t xml:space="preserve">. </w:t>
            </w:r>
            <w:proofErr w:type="spellStart"/>
            <w:r w:rsidRPr="009A417C">
              <w:lastRenderedPageBreak/>
              <w:t>Навчальний</w:t>
            </w:r>
            <w:proofErr w:type="spellEnd"/>
            <w:r w:rsidRPr="009A417C">
              <w:t xml:space="preserve"> </w:t>
            </w:r>
            <w:proofErr w:type="spellStart"/>
            <w:r w:rsidRPr="009A417C">
              <w:t>посібник</w:t>
            </w:r>
            <w:proofErr w:type="spellEnd"/>
            <w:r w:rsidRPr="009A417C">
              <w:t xml:space="preserve">. К.: Центр </w:t>
            </w:r>
            <w:proofErr w:type="spellStart"/>
            <w:r w:rsidRPr="009A417C">
              <w:t>учбової</w:t>
            </w:r>
            <w:proofErr w:type="spellEnd"/>
            <w:r w:rsidRPr="009A417C">
              <w:t xml:space="preserve"> </w:t>
            </w:r>
            <w:proofErr w:type="spellStart"/>
            <w:r w:rsidRPr="009A417C">
              <w:t>літератури</w:t>
            </w:r>
            <w:proofErr w:type="spellEnd"/>
            <w:r w:rsidRPr="009A417C">
              <w:t>, 2010. 352 с.</w:t>
            </w:r>
          </w:p>
          <w:p w14:paraId="7B5FCD3C" w14:textId="7C56F812" w:rsidR="00B01035" w:rsidRPr="009A417C" w:rsidRDefault="00B01035" w:rsidP="00E0619D">
            <w:pPr>
              <w:numPr>
                <w:ilvl w:val="0"/>
                <w:numId w:val="9"/>
              </w:numPr>
              <w:tabs>
                <w:tab w:val="left" w:pos="567"/>
              </w:tabs>
              <w:jc w:val="both"/>
            </w:pPr>
            <w:proofErr w:type="spellStart"/>
            <w:r>
              <w:t>Методологія</w:t>
            </w:r>
            <w:proofErr w:type="spellEnd"/>
            <w:r>
              <w:t xml:space="preserve"> та 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досл</w:t>
            </w:r>
            <w:proofErr w:type="gramEnd"/>
            <w:r>
              <w:t>іджень</w:t>
            </w:r>
            <w:proofErr w:type="spellEnd"/>
            <w:r>
              <w:t xml:space="preserve"> 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посібник</w:t>
            </w:r>
            <w:proofErr w:type="spellEnd"/>
            <w:r>
              <w:t xml:space="preserve"> / О.І. </w:t>
            </w:r>
            <w:proofErr w:type="spellStart"/>
            <w:r>
              <w:t>Гуторов</w:t>
            </w:r>
            <w:proofErr w:type="spellEnd"/>
            <w:r>
              <w:t xml:space="preserve">; Харк. нац. </w:t>
            </w:r>
            <w:proofErr w:type="spellStart"/>
            <w:r>
              <w:t>аграр</w:t>
            </w:r>
            <w:proofErr w:type="spellEnd"/>
            <w:r>
              <w:t xml:space="preserve">. ун-т </w:t>
            </w:r>
            <w:proofErr w:type="spellStart"/>
            <w:r>
              <w:t>ім</w:t>
            </w:r>
            <w:proofErr w:type="spellEnd"/>
            <w:r>
              <w:t xml:space="preserve">. В.В. </w:t>
            </w:r>
            <w:proofErr w:type="spellStart"/>
            <w:r>
              <w:t>Докучаєва</w:t>
            </w:r>
            <w:proofErr w:type="spellEnd"/>
            <w:r>
              <w:t xml:space="preserve"> – Х.: ХНАУ, 2017. – 272 с.</w:t>
            </w:r>
          </w:p>
          <w:p w14:paraId="4BFD904D" w14:textId="77777777" w:rsidR="00E0619D" w:rsidRPr="009A417C" w:rsidRDefault="00E0619D" w:rsidP="00E0619D">
            <w:pPr>
              <w:numPr>
                <w:ilvl w:val="0"/>
                <w:numId w:val="9"/>
              </w:numPr>
              <w:tabs>
                <w:tab w:val="left" w:pos="567"/>
              </w:tabs>
              <w:jc w:val="both"/>
            </w:pPr>
            <w:r w:rsidRPr="009A417C">
              <w:t xml:space="preserve">ДСТУ ГОСТ 7.1:2006. </w:t>
            </w:r>
            <w:proofErr w:type="spellStart"/>
            <w:r w:rsidRPr="009A417C">
              <w:t>Бібліографічний</w:t>
            </w:r>
            <w:proofErr w:type="spellEnd"/>
            <w:r w:rsidRPr="009A417C">
              <w:t xml:space="preserve"> </w:t>
            </w:r>
            <w:proofErr w:type="spellStart"/>
            <w:r w:rsidRPr="009A417C">
              <w:t>запис</w:t>
            </w:r>
            <w:proofErr w:type="spellEnd"/>
            <w:r w:rsidRPr="009A417C">
              <w:t xml:space="preserve">. </w:t>
            </w:r>
            <w:proofErr w:type="spellStart"/>
            <w:proofErr w:type="gramStart"/>
            <w:r w:rsidRPr="009A417C">
              <w:t>Б</w:t>
            </w:r>
            <w:proofErr w:type="gramEnd"/>
            <w:r w:rsidRPr="009A417C">
              <w:t>ібліографічний</w:t>
            </w:r>
            <w:proofErr w:type="spellEnd"/>
            <w:r w:rsidRPr="009A417C">
              <w:t xml:space="preserve"> </w:t>
            </w:r>
            <w:proofErr w:type="spellStart"/>
            <w:r w:rsidRPr="009A417C">
              <w:t>опис</w:t>
            </w:r>
            <w:proofErr w:type="spellEnd"/>
            <w:r w:rsidRPr="009A417C">
              <w:t xml:space="preserve">: Система </w:t>
            </w:r>
            <w:proofErr w:type="spellStart"/>
            <w:r w:rsidRPr="009A417C">
              <w:t>стандартів</w:t>
            </w:r>
            <w:proofErr w:type="spellEnd"/>
            <w:r w:rsidRPr="009A417C">
              <w:t xml:space="preserve"> з </w:t>
            </w:r>
            <w:proofErr w:type="spellStart"/>
            <w:r w:rsidRPr="009A417C">
              <w:t>інформації</w:t>
            </w:r>
            <w:proofErr w:type="spellEnd"/>
            <w:r w:rsidRPr="009A417C">
              <w:t xml:space="preserve">, </w:t>
            </w:r>
            <w:proofErr w:type="spellStart"/>
            <w:r w:rsidRPr="009A417C">
              <w:t>бібліотечної</w:t>
            </w:r>
            <w:proofErr w:type="spellEnd"/>
            <w:r w:rsidRPr="009A417C">
              <w:t xml:space="preserve"> та </w:t>
            </w:r>
            <w:proofErr w:type="spellStart"/>
            <w:r w:rsidRPr="009A417C">
              <w:t>видавничої</w:t>
            </w:r>
            <w:proofErr w:type="spellEnd"/>
            <w:r w:rsidRPr="009A417C">
              <w:t xml:space="preserve"> </w:t>
            </w:r>
            <w:proofErr w:type="spellStart"/>
            <w:r w:rsidRPr="009A417C">
              <w:t>справи</w:t>
            </w:r>
            <w:proofErr w:type="spellEnd"/>
            <w:r w:rsidRPr="009A417C">
              <w:t xml:space="preserve">: </w:t>
            </w:r>
            <w:proofErr w:type="spellStart"/>
            <w:r w:rsidRPr="009A417C">
              <w:t>Загальні</w:t>
            </w:r>
            <w:proofErr w:type="spellEnd"/>
            <w:r w:rsidRPr="009A417C">
              <w:t xml:space="preserve"> </w:t>
            </w:r>
            <w:proofErr w:type="spellStart"/>
            <w:r w:rsidRPr="009A417C">
              <w:t>вимоги</w:t>
            </w:r>
            <w:proofErr w:type="spellEnd"/>
            <w:r w:rsidRPr="009A417C">
              <w:t xml:space="preserve"> та правила </w:t>
            </w:r>
            <w:proofErr w:type="spellStart"/>
            <w:r w:rsidRPr="009A417C">
              <w:t>складання</w:t>
            </w:r>
            <w:proofErr w:type="spellEnd"/>
            <w:r w:rsidRPr="009A417C">
              <w:t xml:space="preserve"> (ГОСТ 7.1–2003,IDT): Вид</w:t>
            </w:r>
            <w:proofErr w:type="gramStart"/>
            <w:r w:rsidRPr="009A417C">
              <w:t>.</w:t>
            </w:r>
            <w:proofErr w:type="gramEnd"/>
            <w:r w:rsidRPr="009A417C">
              <w:t xml:space="preserve"> </w:t>
            </w:r>
            <w:proofErr w:type="spellStart"/>
            <w:proofErr w:type="gramStart"/>
            <w:r w:rsidRPr="009A417C">
              <w:t>о</w:t>
            </w:r>
            <w:proofErr w:type="gramEnd"/>
            <w:r w:rsidRPr="009A417C">
              <w:t>фіц</w:t>
            </w:r>
            <w:proofErr w:type="spellEnd"/>
            <w:r w:rsidRPr="009A417C">
              <w:t xml:space="preserve">. – К.: </w:t>
            </w:r>
            <w:proofErr w:type="spellStart"/>
            <w:r w:rsidRPr="009A417C">
              <w:t>Держспоживстандарт</w:t>
            </w:r>
            <w:proofErr w:type="spellEnd"/>
            <w:r w:rsidRPr="009A417C">
              <w:t xml:space="preserve"> </w:t>
            </w:r>
            <w:proofErr w:type="spellStart"/>
            <w:r w:rsidRPr="009A417C">
              <w:t>України</w:t>
            </w:r>
            <w:proofErr w:type="spellEnd"/>
            <w:r w:rsidRPr="009A417C">
              <w:t>, 2007. – 86 с.</w:t>
            </w:r>
          </w:p>
          <w:p w14:paraId="5995AD71" w14:textId="77777777" w:rsidR="00E0619D" w:rsidRPr="009A417C" w:rsidRDefault="00E0619D" w:rsidP="00E0619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</w:pPr>
            <w:r w:rsidRPr="009A417C">
              <w:t>ISBD(G)</w:t>
            </w:r>
            <w:proofErr w:type="gramStart"/>
            <w:r w:rsidRPr="009A417C">
              <w:t xml:space="preserve"> :</w:t>
            </w:r>
            <w:proofErr w:type="gramEnd"/>
            <w:r w:rsidRPr="009A417C">
              <w:t xml:space="preserve"> </w:t>
            </w:r>
            <w:proofErr w:type="spellStart"/>
            <w:r w:rsidRPr="009A417C">
              <w:t>Загальний</w:t>
            </w:r>
            <w:proofErr w:type="spellEnd"/>
            <w:r w:rsidRPr="009A417C">
              <w:t xml:space="preserve"> </w:t>
            </w:r>
            <w:proofErr w:type="spellStart"/>
            <w:r w:rsidRPr="009A417C">
              <w:t>міжнародний</w:t>
            </w:r>
            <w:proofErr w:type="spellEnd"/>
            <w:r w:rsidRPr="009A417C">
              <w:t xml:space="preserve"> </w:t>
            </w:r>
            <w:proofErr w:type="spellStart"/>
            <w:r w:rsidRPr="009A417C">
              <w:t>стандартний</w:t>
            </w:r>
            <w:proofErr w:type="spellEnd"/>
            <w:r w:rsidRPr="009A417C">
              <w:t xml:space="preserve"> </w:t>
            </w:r>
            <w:proofErr w:type="spellStart"/>
            <w:r w:rsidRPr="009A417C">
              <w:t>бібліографічний</w:t>
            </w:r>
            <w:proofErr w:type="spellEnd"/>
            <w:r w:rsidRPr="009A417C">
              <w:t xml:space="preserve"> </w:t>
            </w:r>
            <w:proofErr w:type="spellStart"/>
            <w:r w:rsidRPr="009A417C">
              <w:t>опис</w:t>
            </w:r>
            <w:proofErr w:type="spellEnd"/>
            <w:r w:rsidRPr="009A417C">
              <w:t xml:space="preserve">.: Пер. з англ. – К.: Кн. палата </w:t>
            </w:r>
            <w:proofErr w:type="spellStart"/>
            <w:r w:rsidRPr="009A417C">
              <w:t>України</w:t>
            </w:r>
            <w:proofErr w:type="spellEnd"/>
            <w:r w:rsidRPr="009A417C">
              <w:t xml:space="preserve">, 2001. – 40 с. </w:t>
            </w:r>
          </w:p>
          <w:p w14:paraId="5E2BAF3A" w14:textId="77777777" w:rsidR="00E0619D" w:rsidRPr="009A417C" w:rsidRDefault="00E0619D" w:rsidP="00E0619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</w:pPr>
            <w:r w:rsidRPr="009A417C">
              <w:t xml:space="preserve">Методика та </w:t>
            </w:r>
            <w:proofErr w:type="spellStart"/>
            <w:r w:rsidRPr="009A417C">
              <w:t>організація</w:t>
            </w:r>
            <w:proofErr w:type="spellEnd"/>
            <w:r w:rsidRPr="009A417C">
              <w:t xml:space="preserve"> </w:t>
            </w:r>
            <w:proofErr w:type="spellStart"/>
            <w:r w:rsidRPr="009A417C">
              <w:t>наукових</w:t>
            </w:r>
            <w:proofErr w:type="spellEnd"/>
            <w:r w:rsidRPr="009A417C">
              <w:t xml:space="preserve"> </w:t>
            </w:r>
            <w:proofErr w:type="spellStart"/>
            <w:proofErr w:type="gramStart"/>
            <w:r w:rsidRPr="009A417C">
              <w:t>досл</w:t>
            </w:r>
            <w:proofErr w:type="gramEnd"/>
            <w:r w:rsidRPr="009A417C">
              <w:t>іджень</w:t>
            </w:r>
            <w:proofErr w:type="spellEnd"/>
            <w:r w:rsidRPr="009A417C">
              <w:t xml:space="preserve"> : </w:t>
            </w:r>
            <w:proofErr w:type="spellStart"/>
            <w:r w:rsidRPr="009A417C">
              <w:t>Навч</w:t>
            </w:r>
            <w:proofErr w:type="spellEnd"/>
            <w:r w:rsidRPr="009A417C">
              <w:t xml:space="preserve">. </w:t>
            </w:r>
            <w:proofErr w:type="spellStart"/>
            <w:proofErr w:type="gramStart"/>
            <w:r w:rsidRPr="009A417C">
              <w:t>пос</w:t>
            </w:r>
            <w:proofErr w:type="gramEnd"/>
            <w:r w:rsidRPr="009A417C">
              <w:t>іб</w:t>
            </w:r>
            <w:proofErr w:type="spellEnd"/>
            <w:r w:rsidRPr="009A417C">
              <w:t xml:space="preserve">. / С. Е. </w:t>
            </w:r>
            <w:proofErr w:type="spellStart"/>
            <w:r w:rsidRPr="009A417C">
              <w:t>Важинський</w:t>
            </w:r>
            <w:proofErr w:type="spellEnd"/>
            <w:r w:rsidRPr="009A417C">
              <w:t xml:space="preserve">, Т І. Щербак. – </w:t>
            </w:r>
            <w:proofErr w:type="spellStart"/>
            <w:r w:rsidRPr="009A417C">
              <w:t>Суми</w:t>
            </w:r>
            <w:proofErr w:type="spellEnd"/>
            <w:r w:rsidRPr="009A417C">
              <w:t xml:space="preserve">: </w:t>
            </w:r>
            <w:proofErr w:type="spellStart"/>
            <w:r w:rsidRPr="009A417C">
              <w:t>СумДПУ</w:t>
            </w:r>
            <w:proofErr w:type="spellEnd"/>
            <w:r w:rsidRPr="009A417C">
              <w:t xml:space="preserve"> </w:t>
            </w:r>
            <w:proofErr w:type="spellStart"/>
            <w:r w:rsidRPr="009A417C">
              <w:t>імені</w:t>
            </w:r>
            <w:proofErr w:type="spellEnd"/>
            <w:r w:rsidRPr="009A417C">
              <w:t xml:space="preserve"> А. С. Макаренка, 2016. – 260 с.</w:t>
            </w:r>
          </w:p>
          <w:p w14:paraId="4CEE227B" w14:textId="77777777" w:rsidR="00E0619D" w:rsidRPr="009A417C" w:rsidRDefault="00E0619D" w:rsidP="00E0619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</w:pPr>
            <w:r w:rsidRPr="009A417C">
              <w:t xml:space="preserve">Адаменко М. І. </w:t>
            </w:r>
            <w:proofErr w:type="spellStart"/>
            <w:r w:rsidRPr="009A417C">
              <w:t>Основи</w:t>
            </w:r>
            <w:proofErr w:type="spellEnd"/>
            <w:r w:rsidRPr="009A417C">
              <w:t xml:space="preserve"> </w:t>
            </w:r>
            <w:proofErr w:type="spellStart"/>
            <w:r w:rsidRPr="009A417C">
              <w:t>наукових</w:t>
            </w:r>
            <w:proofErr w:type="spellEnd"/>
            <w:r w:rsidRPr="009A417C">
              <w:t xml:space="preserve"> </w:t>
            </w:r>
            <w:proofErr w:type="spellStart"/>
            <w:proofErr w:type="gramStart"/>
            <w:r w:rsidRPr="009A417C">
              <w:t>досл</w:t>
            </w:r>
            <w:proofErr w:type="gramEnd"/>
            <w:r w:rsidRPr="009A417C">
              <w:t>іджень</w:t>
            </w:r>
            <w:proofErr w:type="spellEnd"/>
            <w:r w:rsidRPr="009A417C">
              <w:t xml:space="preserve"> / М. І. Адаменко, М. В. </w:t>
            </w:r>
            <w:proofErr w:type="spellStart"/>
            <w:r w:rsidRPr="009A417C">
              <w:t>Бейлін</w:t>
            </w:r>
            <w:proofErr w:type="spellEnd"/>
            <w:r w:rsidRPr="009A417C">
              <w:t xml:space="preserve">. – Х. : ХНУ </w:t>
            </w:r>
            <w:proofErr w:type="spellStart"/>
            <w:r w:rsidRPr="009A417C">
              <w:t>імені</w:t>
            </w:r>
            <w:proofErr w:type="spellEnd"/>
            <w:r w:rsidRPr="009A417C">
              <w:t xml:space="preserve"> В. Н. </w:t>
            </w:r>
            <w:proofErr w:type="spellStart"/>
            <w:r w:rsidRPr="009A417C">
              <w:t>Каразіна</w:t>
            </w:r>
            <w:proofErr w:type="spellEnd"/>
            <w:r w:rsidRPr="009A417C">
              <w:t>, 2014. – 188 с.</w:t>
            </w:r>
          </w:p>
          <w:p w14:paraId="66AD9D6D" w14:textId="77777777" w:rsidR="00E0619D" w:rsidRPr="009A417C" w:rsidRDefault="00E0619D" w:rsidP="00E0619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</w:pPr>
            <w:r w:rsidRPr="009A417C">
              <w:t>Веб-</w:t>
            </w:r>
            <w:proofErr w:type="spellStart"/>
            <w:r w:rsidRPr="009A417C">
              <w:t>ресурси</w:t>
            </w:r>
            <w:proofErr w:type="spellEnd"/>
            <w:r w:rsidRPr="009A417C">
              <w:t>:</w:t>
            </w:r>
          </w:p>
          <w:p w14:paraId="2D7D4926" w14:textId="77777777" w:rsidR="00E0619D" w:rsidRPr="009A417C" w:rsidRDefault="00F23609" w:rsidP="00E0619D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</w:pPr>
            <w:hyperlink r:id="rId9" w:history="1">
              <w:r w:rsidR="00E0619D" w:rsidRPr="009A417C">
                <w:rPr>
                  <w:rStyle w:val="a8"/>
                </w:rPr>
                <w:t>https://www.researchgate.net/</w:t>
              </w:r>
            </w:hyperlink>
          </w:p>
          <w:p w14:paraId="3A6BF585" w14:textId="77777777" w:rsidR="00E0619D" w:rsidRPr="009A417C" w:rsidRDefault="00F23609" w:rsidP="00E0619D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</w:pPr>
            <w:hyperlink r:id="rId10" w:history="1">
              <w:r w:rsidR="00E0619D" w:rsidRPr="009A417C">
                <w:rPr>
                  <w:rStyle w:val="a8"/>
                </w:rPr>
                <w:t>https://www.scopus.com/</w:t>
              </w:r>
            </w:hyperlink>
          </w:p>
          <w:p w14:paraId="5AB6CA6E" w14:textId="77777777" w:rsidR="00E0619D" w:rsidRPr="009A417C" w:rsidRDefault="00F23609" w:rsidP="00E0619D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</w:pPr>
            <w:hyperlink r:id="rId11" w:history="1">
              <w:r w:rsidR="00E0619D" w:rsidRPr="009A417C">
                <w:rPr>
                  <w:rStyle w:val="a8"/>
                </w:rPr>
                <w:t>https://www.mendeley.com/</w:t>
              </w:r>
            </w:hyperlink>
            <w:r w:rsidR="00E0619D" w:rsidRPr="009A417C">
              <w:rPr>
                <w:lang w:val="en-US"/>
              </w:rPr>
              <w:t xml:space="preserve"> </w:t>
            </w:r>
          </w:p>
          <w:p w14:paraId="3180B301" w14:textId="77777777" w:rsidR="00E0619D" w:rsidRPr="009A417C" w:rsidRDefault="00F23609" w:rsidP="00E0619D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</w:pPr>
            <w:hyperlink r:id="rId12" w:history="1">
              <w:r w:rsidR="00E0619D" w:rsidRPr="009A417C">
                <w:rPr>
                  <w:rStyle w:val="a8"/>
                </w:rPr>
                <w:t>https://mjl.clarivate.com/</w:t>
              </w:r>
            </w:hyperlink>
          </w:p>
          <w:p w14:paraId="31600D6C" w14:textId="77777777" w:rsidR="00E0619D" w:rsidRPr="009A417C" w:rsidRDefault="00F23609" w:rsidP="00E0619D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</w:pPr>
            <w:hyperlink r:id="rId13" w:history="1">
              <w:r w:rsidR="00E0619D" w:rsidRPr="009A417C">
                <w:rPr>
                  <w:rStyle w:val="a8"/>
                </w:rPr>
                <w:t>https://publons.com/</w:t>
              </w:r>
            </w:hyperlink>
          </w:p>
          <w:p w14:paraId="4CEFBCD4" w14:textId="77777777" w:rsidR="00E0619D" w:rsidRPr="009A417C" w:rsidRDefault="00F23609" w:rsidP="00E0619D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</w:pPr>
            <w:hyperlink r:id="rId14" w:history="1">
              <w:r w:rsidR="00E0619D" w:rsidRPr="009A417C">
                <w:rPr>
                  <w:rStyle w:val="a8"/>
                </w:rPr>
                <w:t>https://www.crdfglobal.org/</w:t>
              </w:r>
            </w:hyperlink>
          </w:p>
          <w:p w14:paraId="242BEDA1" w14:textId="77777777" w:rsidR="00E0619D" w:rsidRPr="009A417C" w:rsidRDefault="00F23609" w:rsidP="00E0619D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</w:pPr>
            <w:hyperlink r:id="rId15" w:history="1">
              <w:r w:rsidR="00E0619D" w:rsidRPr="009A417C">
                <w:rPr>
                  <w:rStyle w:val="a8"/>
                </w:rPr>
                <w:t>https://www.</w:t>
              </w:r>
              <w:proofErr w:type="spellStart"/>
              <w:r w:rsidR="00E0619D" w:rsidRPr="009A417C">
                <w:rPr>
                  <w:rStyle w:val="a8"/>
                  <w:lang w:val="en-US"/>
                </w:rPr>
                <w:t>stcu</w:t>
              </w:r>
              <w:proofErr w:type="spellEnd"/>
              <w:r w:rsidR="00E0619D" w:rsidRPr="009A417C">
                <w:rPr>
                  <w:rStyle w:val="a8"/>
                </w:rPr>
                <w:t>.</w:t>
              </w:r>
              <w:proofErr w:type="spellStart"/>
              <w:r w:rsidR="00E0619D" w:rsidRPr="009A417C">
                <w:rPr>
                  <w:rStyle w:val="a8"/>
                  <w:lang w:val="en-US"/>
                </w:rPr>
                <w:t>int</w:t>
              </w:r>
              <w:proofErr w:type="spellEnd"/>
              <w:r w:rsidR="00E0619D" w:rsidRPr="009A417C">
                <w:rPr>
                  <w:rStyle w:val="a8"/>
                </w:rPr>
                <w:t>/</w:t>
              </w:r>
            </w:hyperlink>
          </w:p>
          <w:p w14:paraId="44480072" w14:textId="77777777" w:rsidR="00E0619D" w:rsidRPr="009A417C" w:rsidRDefault="00F23609" w:rsidP="00E0619D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</w:pPr>
            <w:hyperlink r:id="rId16" w:history="1">
              <w:r w:rsidR="00E0619D" w:rsidRPr="009A417C">
                <w:rPr>
                  <w:rStyle w:val="a8"/>
                </w:rPr>
                <w:t>https://ec.europa.eu/info/funding-tenders/opportunities/portal</w:t>
              </w:r>
            </w:hyperlink>
          </w:p>
          <w:p w14:paraId="1945EFC8" w14:textId="77777777" w:rsidR="00E0619D" w:rsidRPr="009A417C" w:rsidRDefault="00F23609" w:rsidP="00E0619D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</w:pPr>
            <w:hyperlink r:id="rId17" w:history="1">
              <w:r w:rsidR="00E0619D" w:rsidRPr="009A417C">
                <w:rPr>
                  <w:rStyle w:val="a8"/>
                </w:rPr>
                <w:t>https://www.nato.int/science/</w:t>
              </w:r>
            </w:hyperlink>
          </w:p>
          <w:p w14:paraId="2B0C8162" w14:textId="77777777" w:rsidR="00E0619D" w:rsidRPr="009A417C" w:rsidRDefault="00F23609" w:rsidP="00E0619D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</w:pPr>
            <w:hyperlink r:id="rId18" w:history="1">
              <w:r w:rsidR="00E0619D" w:rsidRPr="009A417C">
                <w:rPr>
                  <w:rStyle w:val="a8"/>
                </w:rPr>
                <w:t>http://nfv.ukrintei.ua/</w:t>
              </w:r>
            </w:hyperlink>
          </w:p>
          <w:p w14:paraId="19CC4925" w14:textId="77777777" w:rsidR="00E0619D" w:rsidRPr="009A417C" w:rsidRDefault="00F23609" w:rsidP="00E0619D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</w:pPr>
            <w:hyperlink r:id="rId19" w:history="1">
              <w:r w:rsidR="00E0619D" w:rsidRPr="009A417C">
                <w:rPr>
                  <w:rStyle w:val="a8"/>
                </w:rPr>
                <w:t>https://scholar.google.com/</w:t>
              </w:r>
            </w:hyperlink>
          </w:p>
          <w:p w14:paraId="4D1EE14A" w14:textId="77777777" w:rsidR="00E0619D" w:rsidRPr="009A417C" w:rsidRDefault="00F23609" w:rsidP="00E0619D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</w:pPr>
            <w:hyperlink r:id="rId20" w:history="1">
              <w:r w:rsidR="00E0619D" w:rsidRPr="009A417C">
                <w:rPr>
                  <w:rStyle w:val="a8"/>
                </w:rPr>
                <w:t>https://journals.pnu.edu.ua/index.php/index</w:t>
              </w:r>
            </w:hyperlink>
          </w:p>
          <w:p w14:paraId="34B5AD59" w14:textId="77777777" w:rsidR="00E0619D" w:rsidRPr="009A417C" w:rsidRDefault="00F23609" w:rsidP="00E0619D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</w:pPr>
            <w:hyperlink r:id="rId21" w:history="1">
              <w:r w:rsidR="00E0619D" w:rsidRPr="009A417C">
                <w:rPr>
                  <w:rStyle w:val="a8"/>
                </w:rPr>
                <w:t>https://members.orcid.org/</w:t>
              </w:r>
            </w:hyperlink>
          </w:p>
          <w:p w14:paraId="38C80487" w14:textId="2F77C174" w:rsidR="00E0619D" w:rsidRPr="00B01035" w:rsidRDefault="00F23609" w:rsidP="00E0619D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</w:pPr>
            <w:hyperlink r:id="rId22" w:history="1">
              <w:r w:rsidR="00E0619D" w:rsidRPr="009A417C">
                <w:rPr>
                  <w:rStyle w:val="a8"/>
                </w:rPr>
                <w:t>https://www.</w:t>
              </w:r>
              <w:proofErr w:type="spellStart"/>
              <w:r w:rsidR="00E0619D" w:rsidRPr="009A417C">
                <w:rPr>
                  <w:rStyle w:val="a8"/>
                  <w:lang w:val="en-US"/>
                </w:rPr>
                <w:t>issn</w:t>
              </w:r>
              <w:proofErr w:type="spellEnd"/>
              <w:r w:rsidR="00E0619D" w:rsidRPr="009A417C">
                <w:rPr>
                  <w:rStyle w:val="a8"/>
                </w:rPr>
                <w:t>.</w:t>
              </w:r>
              <w:r w:rsidR="00E0619D" w:rsidRPr="009A417C">
                <w:rPr>
                  <w:rStyle w:val="a8"/>
                  <w:lang w:val="en-US"/>
                </w:rPr>
                <w:t>org</w:t>
              </w:r>
              <w:r w:rsidR="00E0619D" w:rsidRPr="009A417C">
                <w:rPr>
                  <w:rStyle w:val="a8"/>
                </w:rPr>
                <w:t>/</w:t>
              </w:r>
            </w:hyperlink>
            <w:r w:rsidR="00E0619D" w:rsidRPr="009A417C">
              <w:rPr>
                <w:lang w:val="en-US"/>
              </w:rPr>
              <w:t xml:space="preserve"> </w:t>
            </w:r>
          </w:p>
          <w:p w14:paraId="20453CCF" w14:textId="4B1CC685" w:rsidR="00B01035" w:rsidRPr="009A417C" w:rsidRDefault="00F23609" w:rsidP="00E0619D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</w:pPr>
            <w:hyperlink r:id="rId23" w:history="1">
              <w:r w:rsidR="00B01035" w:rsidRPr="004F22D1">
                <w:rPr>
                  <w:rStyle w:val="a8"/>
                </w:rPr>
                <w:t>https://ncp.pnu.edu.ua/</w:t>
              </w:r>
            </w:hyperlink>
            <w:r w:rsidR="00B01035">
              <w:rPr>
                <w:lang w:val="uk-UA"/>
              </w:rPr>
              <w:t xml:space="preserve"> </w:t>
            </w:r>
          </w:p>
          <w:p w14:paraId="6C6276AC" w14:textId="77777777" w:rsidR="004217D3" w:rsidRPr="00C67355" w:rsidRDefault="004217D3" w:rsidP="00E0619D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lang w:val="uk-UA"/>
              </w:rPr>
            </w:pPr>
          </w:p>
        </w:tc>
      </w:tr>
    </w:tbl>
    <w:p w14:paraId="0C085CF7" w14:textId="77777777" w:rsidR="00395013" w:rsidRPr="00C67355" w:rsidRDefault="00395013" w:rsidP="00395013">
      <w:pPr>
        <w:jc w:val="both"/>
        <w:rPr>
          <w:lang w:val="uk-UA"/>
        </w:rPr>
      </w:pPr>
    </w:p>
    <w:p w14:paraId="37E3369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2B2F86F" w14:textId="77777777" w:rsidR="00F9137E" w:rsidRDefault="00F9137E" w:rsidP="00395013">
      <w:pPr>
        <w:jc w:val="both"/>
        <w:rPr>
          <w:lang w:val="uk-UA"/>
        </w:rPr>
      </w:pPr>
    </w:p>
    <w:p w14:paraId="46F1742B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38027827" w14:textId="77777777" w:rsidR="00335A19" w:rsidRPr="00784AB3" w:rsidRDefault="00D74B80" w:rsidP="008433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4217D3">
        <w:rPr>
          <w:b/>
          <w:sz w:val="28"/>
          <w:szCs w:val="28"/>
          <w:lang w:val="uk-UA"/>
        </w:rPr>
        <w:t xml:space="preserve"> </w:t>
      </w:r>
      <w:proofErr w:type="spellStart"/>
      <w:r w:rsidR="004217D3" w:rsidRPr="00053FD9">
        <w:rPr>
          <w:rFonts w:eastAsiaTheme="minorHAnsi"/>
          <w:b/>
          <w:bCs/>
          <w:szCs w:val="28"/>
          <w:lang w:val="uk-UA" w:eastAsia="en-US"/>
        </w:rPr>
        <w:t>Никируй</w:t>
      </w:r>
      <w:proofErr w:type="spellEnd"/>
      <w:r w:rsidR="004217D3" w:rsidRPr="00053FD9">
        <w:rPr>
          <w:rFonts w:eastAsiaTheme="minorHAnsi"/>
          <w:b/>
          <w:bCs/>
          <w:szCs w:val="28"/>
          <w:lang w:val="uk-UA" w:eastAsia="en-US"/>
        </w:rPr>
        <w:t xml:space="preserve"> Л.І.</w:t>
      </w: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2136C59"/>
    <w:multiLevelType w:val="hybridMultilevel"/>
    <w:tmpl w:val="ED125A46"/>
    <w:lvl w:ilvl="0" w:tplc="5894A7DA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1184E"/>
    <w:multiLevelType w:val="hybridMultilevel"/>
    <w:tmpl w:val="EA625C08"/>
    <w:lvl w:ilvl="0" w:tplc="140E9CB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6"/>
        <w:lang w:val="en-US" w:eastAsia="en-US" w:bidi="en-US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631E4BD5"/>
    <w:multiLevelType w:val="hybridMultilevel"/>
    <w:tmpl w:val="D7B0252C"/>
    <w:lvl w:ilvl="0" w:tplc="80303CE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8052CD4"/>
    <w:multiLevelType w:val="hybridMultilevel"/>
    <w:tmpl w:val="0F36E41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9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149E6"/>
    <w:rsid w:val="00071F79"/>
    <w:rsid w:val="00072283"/>
    <w:rsid w:val="000C46E3"/>
    <w:rsid w:val="001039A3"/>
    <w:rsid w:val="00151BC4"/>
    <w:rsid w:val="001611B1"/>
    <w:rsid w:val="00193CEB"/>
    <w:rsid w:val="00212374"/>
    <w:rsid w:val="00254871"/>
    <w:rsid w:val="002B3D72"/>
    <w:rsid w:val="002C2330"/>
    <w:rsid w:val="00335A19"/>
    <w:rsid w:val="00373614"/>
    <w:rsid w:val="00395013"/>
    <w:rsid w:val="00396AAF"/>
    <w:rsid w:val="004217D3"/>
    <w:rsid w:val="00483A45"/>
    <w:rsid w:val="00491290"/>
    <w:rsid w:val="004F7AFF"/>
    <w:rsid w:val="006465A0"/>
    <w:rsid w:val="00654CF9"/>
    <w:rsid w:val="006A14B2"/>
    <w:rsid w:val="00760833"/>
    <w:rsid w:val="00784AB3"/>
    <w:rsid w:val="0084333C"/>
    <w:rsid w:val="008A1B87"/>
    <w:rsid w:val="009506C9"/>
    <w:rsid w:val="0095499A"/>
    <w:rsid w:val="00976DD6"/>
    <w:rsid w:val="009A2779"/>
    <w:rsid w:val="00A402FD"/>
    <w:rsid w:val="00AB324B"/>
    <w:rsid w:val="00AC76DC"/>
    <w:rsid w:val="00AF6F3B"/>
    <w:rsid w:val="00B01035"/>
    <w:rsid w:val="00B10A22"/>
    <w:rsid w:val="00B2712D"/>
    <w:rsid w:val="00B93336"/>
    <w:rsid w:val="00BC32A7"/>
    <w:rsid w:val="00C66222"/>
    <w:rsid w:val="00C67355"/>
    <w:rsid w:val="00C81B4F"/>
    <w:rsid w:val="00CA1BE2"/>
    <w:rsid w:val="00CE5CA0"/>
    <w:rsid w:val="00D74B80"/>
    <w:rsid w:val="00E0619D"/>
    <w:rsid w:val="00EC0806"/>
    <w:rsid w:val="00EE1819"/>
    <w:rsid w:val="00EE4289"/>
    <w:rsid w:val="00F23609"/>
    <w:rsid w:val="00F71319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2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76083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0103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76083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010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" TargetMode="External"/><Relationship Id="rId13" Type="http://schemas.openxmlformats.org/officeDocument/2006/relationships/hyperlink" Target="https://publons.com/" TargetMode="External"/><Relationship Id="rId18" Type="http://schemas.openxmlformats.org/officeDocument/2006/relationships/hyperlink" Target="http://nfv.ukrintei.u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embers.orcid.org/" TargetMode="External"/><Relationship Id="rId7" Type="http://schemas.openxmlformats.org/officeDocument/2006/relationships/hyperlink" Target="mailto:lyubomyr.nykyruy@pnu.edu.ua" TargetMode="External"/><Relationship Id="rId12" Type="http://schemas.openxmlformats.org/officeDocument/2006/relationships/hyperlink" Target="https://mjl.clarivate.com/" TargetMode="External"/><Relationship Id="rId17" Type="http://schemas.openxmlformats.org/officeDocument/2006/relationships/hyperlink" Target="https://www.nato.int/science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c.europa.eu/info/funding-tenders/opportunities/portal" TargetMode="External"/><Relationship Id="rId20" Type="http://schemas.openxmlformats.org/officeDocument/2006/relationships/hyperlink" Target="https://journals.pnu.edu.ua/index.php/inde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endeley.com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stcu.int/" TargetMode="External"/><Relationship Id="rId23" Type="http://schemas.openxmlformats.org/officeDocument/2006/relationships/hyperlink" Target="https://ncp.pnu.edu.ua/" TargetMode="External"/><Relationship Id="rId10" Type="http://schemas.openxmlformats.org/officeDocument/2006/relationships/hyperlink" Target="https://www.scopus.com/" TargetMode="External"/><Relationship Id="rId19" Type="http://schemas.openxmlformats.org/officeDocument/2006/relationships/hyperlink" Target="https://scholar.google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researchgate.net/" TargetMode="External"/><Relationship Id="rId14" Type="http://schemas.openxmlformats.org/officeDocument/2006/relationships/hyperlink" Target="https://www.crdfglobal.org/" TargetMode="External"/><Relationship Id="rId22" Type="http://schemas.openxmlformats.org/officeDocument/2006/relationships/hyperlink" Target="https://www.issn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423D42-D088-4CCB-A66E-932FF02CF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2178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Ivanka</cp:lastModifiedBy>
  <cp:revision>2</cp:revision>
  <cp:lastPrinted>2020-10-13T06:35:00Z</cp:lastPrinted>
  <dcterms:created xsi:type="dcterms:W3CDTF">2021-02-23T08:20:00Z</dcterms:created>
  <dcterms:modified xsi:type="dcterms:W3CDTF">2021-02-23T08:20:00Z</dcterms:modified>
</cp:coreProperties>
</file>