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9566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4DE3DC9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991A75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23CD16A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DEA2BE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BA2273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6C71F9A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02542E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0850AC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AFAA91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5D34BCED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B40C270" w14:textId="4AD127E5" w:rsidR="00395013" w:rsidRDefault="00976DD6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976DD6">
        <w:rPr>
          <w:b/>
          <w:bCs/>
          <w:color w:val="000000"/>
          <w:spacing w:val="-13"/>
          <w:sz w:val="44"/>
          <w:szCs w:val="44"/>
          <w:lang w:val="uk-UA"/>
        </w:rPr>
        <w:t>Управлі</w:t>
      </w:r>
      <w:r w:rsidR="00D50376">
        <w:rPr>
          <w:b/>
          <w:bCs/>
          <w:color w:val="000000"/>
          <w:spacing w:val="-13"/>
          <w:sz w:val="44"/>
          <w:szCs w:val="44"/>
          <w:lang w:val="uk-UA"/>
        </w:rPr>
        <w:t xml:space="preserve">ння науково-дослідницькими  </w:t>
      </w:r>
      <w:proofErr w:type="spellStart"/>
      <w:r w:rsidR="00D50376">
        <w:rPr>
          <w:b/>
          <w:bCs/>
          <w:color w:val="000000"/>
          <w:spacing w:val="-13"/>
          <w:sz w:val="44"/>
          <w:szCs w:val="44"/>
          <w:lang w:val="uk-UA"/>
        </w:rPr>
        <w:t>проє</w:t>
      </w:r>
      <w:r w:rsidRPr="00976DD6">
        <w:rPr>
          <w:b/>
          <w:bCs/>
          <w:color w:val="000000"/>
          <w:spacing w:val="-13"/>
          <w:sz w:val="44"/>
          <w:szCs w:val="44"/>
          <w:lang w:val="uk-UA"/>
        </w:rPr>
        <w:t>ктами</w:t>
      </w:r>
      <w:proofErr w:type="spellEnd"/>
    </w:p>
    <w:p w14:paraId="0E702393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ADA269A" w14:textId="77777777" w:rsidR="00D50376" w:rsidRPr="00D50376" w:rsidRDefault="00D50376" w:rsidP="00D50376">
      <w:pPr>
        <w:jc w:val="center"/>
        <w:rPr>
          <w:sz w:val="28"/>
          <w:szCs w:val="28"/>
          <w:lang w:val="uk-UA"/>
        </w:rPr>
      </w:pPr>
      <w:r w:rsidRPr="00D50376">
        <w:rPr>
          <w:sz w:val="28"/>
          <w:szCs w:val="28"/>
          <w:lang w:val="uk-UA"/>
        </w:rPr>
        <w:t>Рівень вищої освіти − третій (</w:t>
      </w:r>
      <w:proofErr w:type="spellStart"/>
      <w:r w:rsidRPr="00D50376">
        <w:rPr>
          <w:sz w:val="28"/>
          <w:szCs w:val="28"/>
          <w:lang w:val="uk-UA"/>
        </w:rPr>
        <w:t>освітньо</w:t>
      </w:r>
      <w:proofErr w:type="spellEnd"/>
      <w:r w:rsidRPr="00D50376">
        <w:rPr>
          <w:sz w:val="28"/>
          <w:szCs w:val="28"/>
          <w:lang w:val="uk-UA"/>
        </w:rPr>
        <w:t>-науковий)</w:t>
      </w:r>
    </w:p>
    <w:p w14:paraId="4E07BF01" w14:textId="77777777" w:rsidR="00D50376" w:rsidRPr="00D50376" w:rsidRDefault="00D50376" w:rsidP="00D50376">
      <w:pPr>
        <w:jc w:val="center"/>
        <w:rPr>
          <w:sz w:val="28"/>
          <w:szCs w:val="28"/>
          <w:lang w:val="uk-UA"/>
        </w:rPr>
      </w:pPr>
    </w:p>
    <w:p w14:paraId="1A377A48" w14:textId="77777777" w:rsidR="00D50376" w:rsidRPr="00D50376" w:rsidRDefault="00D50376" w:rsidP="00D50376">
      <w:pPr>
        <w:jc w:val="center"/>
        <w:rPr>
          <w:sz w:val="28"/>
          <w:szCs w:val="28"/>
          <w:lang w:val="uk-UA"/>
        </w:rPr>
      </w:pPr>
      <w:proofErr w:type="spellStart"/>
      <w:r w:rsidRPr="00D50376">
        <w:rPr>
          <w:sz w:val="28"/>
          <w:szCs w:val="28"/>
          <w:lang w:val="uk-UA"/>
        </w:rPr>
        <w:t>Освітньо</w:t>
      </w:r>
      <w:proofErr w:type="spellEnd"/>
      <w:r w:rsidRPr="00D50376">
        <w:rPr>
          <w:sz w:val="28"/>
          <w:szCs w:val="28"/>
          <w:lang w:val="uk-UA"/>
        </w:rPr>
        <w:t>-наукова програма Право</w:t>
      </w:r>
    </w:p>
    <w:p w14:paraId="5D5AEBBB" w14:textId="77777777" w:rsidR="00D50376" w:rsidRPr="00D50376" w:rsidRDefault="00D50376" w:rsidP="00D50376">
      <w:pPr>
        <w:jc w:val="center"/>
        <w:rPr>
          <w:sz w:val="28"/>
          <w:szCs w:val="28"/>
          <w:lang w:val="uk-UA"/>
        </w:rPr>
      </w:pPr>
    </w:p>
    <w:p w14:paraId="04123B08" w14:textId="77777777" w:rsidR="00D50376" w:rsidRPr="00D50376" w:rsidRDefault="00D50376" w:rsidP="00D50376">
      <w:pPr>
        <w:jc w:val="center"/>
        <w:rPr>
          <w:sz w:val="28"/>
          <w:szCs w:val="28"/>
          <w:lang w:val="uk-UA"/>
        </w:rPr>
      </w:pPr>
      <w:r w:rsidRPr="00D50376">
        <w:rPr>
          <w:sz w:val="28"/>
          <w:szCs w:val="28"/>
          <w:lang w:val="uk-UA"/>
        </w:rPr>
        <w:t>Спеціальність 081 Право</w:t>
      </w:r>
    </w:p>
    <w:p w14:paraId="4A6F4A11" w14:textId="77777777" w:rsidR="00D50376" w:rsidRPr="00D50376" w:rsidRDefault="00D50376" w:rsidP="00D50376">
      <w:pPr>
        <w:jc w:val="center"/>
        <w:rPr>
          <w:sz w:val="28"/>
          <w:szCs w:val="28"/>
          <w:lang w:val="uk-UA"/>
        </w:rPr>
      </w:pPr>
    </w:p>
    <w:p w14:paraId="1AD5637E" w14:textId="2A7955CE" w:rsidR="00395013" w:rsidRDefault="00D50376" w:rsidP="00D50376">
      <w:pPr>
        <w:jc w:val="center"/>
        <w:rPr>
          <w:sz w:val="28"/>
          <w:szCs w:val="28"/>
          <w:lang w:val="uk-UA"/>
        </w:rPr>
      </w:pPr>
      <w:r w:rsidRPr="00D50376">
        <w:rPr>
          <w:sz w:val="28"/>
          <w:szCs w:val="28"/>
          <w:lang w:val="uk-UA"/>
        </w:rPr>
        <w:t>Галузь знань 08 Право</w:t>
      </w:r>
    </w:p>
    <w:p w14:paraId="0756AB2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2EF8FA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B66561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0010C6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C3B44F3" w14:textId="77777777" w:rsidR="00D10BDB" w:rsidRPr="00D10BDB" w:rsidRDefault="00395013" w:rsidP="00395013">
      <w:pPr>
        <w:jc w:val="right"/>
        <w:rPr>
          <w:sz w:val="28"/>
          <w:szCs w:val="28"/>
          <w:lang w:val="uk-UA"/>
        </w:rPr>
      </w:pPr>
      <w:r w:rsidRPr="00D10BDB">
        <w:rPr>
          <w:sz w:val="28"/>
          <w:szCs w:val="28"/>
          <w:lang w:val="uk-UA"/>
        </w:rPr>
        <w:t xml:space="preserve">Затверджено на засіданні </w:t>
      </w:r>
    </w:p>
    <w:p w14:paraId="43452AF9" w14:textId="37CA7019" w:rsidR="00395013" w:rsidRPr="00D10BDB" w:rsidRDefault="00395013" w:rsidP="00395013">
      <w:pPr>
        <w:jc w:val="right"/>
        <w:rPr>
          <w:sz w:val="28"/>
          <w:szCs w:val="28"/>
          <w:lang w:val="uk-UA"/>
        </w:rPr>
      </w:pPr>
      <w:r w:rsidRPr="00D10BDB">
        <w:rPr>
          <w:sz w:val="28"/>
          <w:szCs w:val="28"/>
          <w:lang w:val="uk-UA"/>
        </w:rPr>
        <w:t>кафедри</w:t>
      </w:r>
      <w:r w:rsidR="00D10BDB" w:rsidRPr="00D10BDB">
        <w:rPr>
          <w:sz w:val="28"/>
          <w:szCs w:val="28"/>
          <w:lang w:val="uk-UA"/>
        </w:rPr>
        <w:t xml:space="preserve"> фізики і хімії твердого тіла</w:t>
      </w:r>
    </w:p>
    <w:p w14:paraId="4F8E79B6" w14:textId="333FD61B" w:rsidR="00395013" w:rsidRDefault="00395013" w:rsidP="00395013">
      <w:pPr>
        <w:jc w:val="right"/>
        <w:rPr>
          <w:sz w:val="28"/>
          <w:szCs w:val="28"/>
          <w:lang w:val="uk-UA"/>
        </w:rPr>
      </w:pPr>
      <w:r w:rsidRPr="00D10BDB">
        <w:rPr>
          <w:sz w:val="28"/>
          <w:szCs w:val="28"/>
          <w:lang w:val="uk-UA"/>
        </w:rPr>
        <w:t xml:space="preserve">Протокол </w:t>
      </w:r>
      <w:r w:rsidRPr="00D10BDB">
        <w:rPr>
          <w:sz w:val="28"/>
          <w:szCs w:val="28"/>
          <w:u w:val="single"/>
          <w:lang w:val="uk-UA"/>
        </w:rPr>
        <w:t>№</w:t>
      </w:r>
      <w:r w:rsidR="00D50376">
        <w:rPr>
          <w:sz w:val="28"/>
          <w:szCs w:val="28"/>
          <w:u w:val="single"/>
          <w:lang w:val="uk-UA"/>
        </w:rPr>
        <w:t xml:space="preserve"> </w:t>
      </w:r>
      <w:r w:rsidRPr="00D10BDB">
        <w:rPr>
          <w:sz w:val="28"/>
          <w:szCs w:val="28"/>
          <w:lang w:val="uk-UA"/>
        </w:rPr>
        <w:t xml:space="preserve"> від </w:t>
      </w:r>
      <w:r w:rsidRPr="00D10BDB">
        <w:rPr>
          <w:sz w:val="28"/>
          <w:szCs w:val="28"/>
        </w:rPr>
        <w:t>“</w:t>
      </w:r>
      <w:r w:rsidR="00D50376">
        <w:rPr>
          <w:sz w:val="28"/>
          <w:szCs w:val="28"/>
          <w:u w:val="single"/>
          <w:lang w:val="uk-UA"/>
        </w:rPr>
        <w:t xml:space="preserve"> </w:t>
      </w:r>
      <w:r w:rsidRPr="00D10BDB">
        <w:rPr>
          <w:sz w:val="28"/>
          <w:szCs w:val="28"/>
        </w:rPr>
        <w:t>”</w:t>
      </w:r>
      <w:r w:rsidR="00CD0675">
        <w:rPr>
          <w:sz w:val="28"/>
          <w:szCs w:val="28"/>
          <w:lang w:val="uk-UA"/>
        </w:rPr>
        <w:t xml:space="preserve"> </w:t>
      </w:r>
      <w:r w:rsidR="00D50376">
        <w:rPr>
          <w:sz w:val="28"/>
          <w:szCs w:val="28"/>
          <w:u w:val="single"/>
          <w:lang w:val="uk-UA"/>
        </w:rPr>
        <w:t>серп</w:t>
      </w:r>
      <w:r w:rsidR="00CD0675" w:rsidRPr="00CD0675">
        <w:rPr>
          <w:sz w:val="28"/>
          <w:szCs w:val="28"/>
          <w:u w:val="single"/>
          <w:lang w:val="uk-UA"/>
        </w:rPr>
        <w:t>ня</w:t>
      </w:r>
      <w:r w:rsidR="00CD0675">
        <w:rPr>
          <w:sz w:val="28"/>
          <w:szCs w:val="28"/>
          <w:lang w:val="uk-UA"/>
        </w:rPr>
        <w:t xml:space="preserve"> </w:t>
      </w:r>
      <w:r w:rsidR="00A402FD" w:rsidRPr="00CD0675">
        <w:rPr>
          <w:sz w:val="28"/>
          <w:szCs w:val="28"/>
          <w:u w:val="single"/>
          <w:lang w:val="uk-UA"/>
        </w:rPr>
        <w:t>2020</w:t>
      </w:r>
      <w:r w:rsidRPr="00D10BDB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27E007F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89F830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A735326" w14:textId="3305999C" w:rsidR="00395013" w:rsidRDefault="00D50376" w:rsidP="00D50376">
      <w:pPr>
        <w:tabs>
          <w:tab w:val="left" w:pos="69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549D94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D2272F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43A0AA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1B6D45F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FE3388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C0B94FC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35F8AA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357BD8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80EC419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14:paraId="1985EE0B" w14:textId="3BA50D07" w:rsidR="00976DD6" w:rsidRDefault="00976DD6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209D23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0DD381D9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62915D6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1376877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75AF8022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68D38F8F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173760DB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428B675B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7908F7EE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81C588C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227DF310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54E27E7C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01B3471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77AE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FF32EC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F55BAE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6EFA4A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8D779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3271B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405A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EA6F4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1BCE4D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A30BD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099F0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27AA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0B7CB1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F66C1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9EC1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E1B4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1865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BEB842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5392FE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F0384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AC5AA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1DB3F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8E16F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2150FA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D072E0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77C7AD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D8220F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6"/>
        <w:gridCol w:w="667"/>
        <w:gridCol w:w="779"/>
        <w:gridCol w:w="166"/>
        <w:gridCol w:w="1309"/>
        <w:gridCol w:w="852"/>
        <w:gridCol w:w="706"/>
        <w:gridCol w:w="674"/>
        <w:gridCol w:w="536"/>
        <w:gridCol w:w="1590"/>
      </w:tblGrid>
      <w:tr w:rsidR="00C67355" w:rsidRPr="00C67355" w14:paraId="52B94A06" w14:textId="77777777" w:rsidTr="005321FE">
        <w:tc>
          <w:tcPr>
            <w:tcW w:w="9571" w:type="dxa"/>
            <w:gridSpan w:val="10"/>
          </w:tcPr>
          <w:p w14:paraId="1438664D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0BDC98FF" w14:textId="77777777" w:rsidTr="004217D3">
        <w:tc>
          <w:tcPr>
            <w:tcW w:w="3462" w:type="dxa"/>
            <w:gridSpan w:val="4"/>
          </w:tcPr>
          <w:p w14:paraId="2959AEE8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09" w:type="dxa"/>
            <w:gridSpan w:val="6"/>
          </w:tcPr>
          <w:p w14:paraId="7097D53E" w14:textId="4AFBE534" w:rsidR="002C2330" w:rsidRPr="00C67355" w:rsidRDefault="00976DD6" w:rsidP="00760833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Управління науково-дослідницькими </w:t>
            </w:r>
            <w:proofErr w:type="spellStart"/>
            <w:r w:rsidR="003B269C">
              <w:rPr>
                <w:b/>
                <w:lang w:val="uk-UA"/>
              </w:rPr>
              <w:t>проє</w:t>
            </w:r>
            <w:r>
              <w:rPr>
                <w:b/>
                <w:lang w:val="uk-UA"/>
              </w:rPr>
              <w:t>ктами</w:t>
            </w:r>
            <w:proofErr w:type="spellEnd"/>
          </w:p>
        </w:tc>
      </w:tr>
      <w:tr w:rsidR="00071F79" w:rsidRPr="00C67355" w14:paraId="6FB3FD6E" w14:textId="77777777" w:rsidTr="004217D3">
        <w:tc>
          <w:tcPr>
            <w:tcW w:w="3462" w:type="dxa"/>
            <w:gridSpan w:val="4"/>
          </w:tcPr>
          <w:p w14:paraId="28E630A6" w14:textId="77777777"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109" w:type="dxa"/>
            <w:gridSpan w:val="6"/>
          </w:tcPr>
          <w:p w14:paraId="21E52B1F" w14:textId="5C0F4D8D" w:rsidR="00071F79" w:rsidRPr="00760833" w:rsidRDefault="003B269C" w:rsidP="00395013">
            <w:pPr>
              <w:jc w:val="both"/>
              <w:rPr>
                <w:lang w:val="uk-UA"/>
              </w:rPr>
            </w:pPr>
            <w:r w:rsidRPr="003B269C">
              <w:rPr>
                <w:lang w:val="uk-UA"/>
              </w:rPr>
              <w:t>третій (</w:t>
            </w:r>
            <w:proofErr w:type="spellStart"/>
            <w:r w:rsidRPr="003B269C">
              <w:rPr>
                <w:lang w:val="uk-UA"/>
              </w:rPr>
              <w:t>освітньо</w:t>
            </w:r>
            <w:proofErr w:type="spellEnd"/>
            <w:r w:rsidRPr="003B269C">
              <w:rPr>
                <w:lang w:val="uk-UA"/>
              </w:rPr>
              <w:t>-науковий)</w:t>
            </w:r>
          </w:p>
        </w:tc>
      </w:tr>
      <w:tr w:rsidR="002C2330" w:rsidRPr="00C67355" w14:paraId="25B14972" w14:textId="77777777" w:rsidTr="004217D3">
        <w:tc>
          <w:tcPr>
            <w:tcW w:w="3462" w:type="dxa"/>
            <w:gridSpan w:val="4"/>
          </w:tcPr>
          <w:p w14:paraId="670E5580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09" w:type="dxa"/>
            <w:gridSpan w:val="6"/>
          </w:tcPr>
          <w:p w14:paraId="2BF3091C" w14:textId="77777777" w:rsidR="002C2330" w:rsidRPr="00C67355" w:rsidRDefault="00760833" w:rsidP="00395013">
            <w:pPr>
              <w:jc w:val="both"/>
              <w:rPr>
                <w:lang w:val="uk-UA"/>
              </w:rPr>
            </w:pPr>
            <w:proofErr w:type="spellStart"/>
            <w:r w:rsidRPr="00053FD9">
              <w:rPr>
                <w:lang w:val="uk-UA"/>
              </w:rPr>
              <w:t>Никируй</w:t>
            </w:r>
            <w:proofErr w:type="spellEnd"/>
            <w:r w:rsidRPr="00053FD9">
              <w:rPr>
                <w:lang w:val="uk-UA"/>
              </w:rPr>
              <w:t xml:space="preserve"> Любомир Іванович – кандидат фізико-математичних наук, професор</w:t>
            </w:r>
            <w:r>
              <w:rPr>
                <w:lang w:val="uk-UA"/>
              </w:rPr>
              <w:t xml:space="preserve"> кафедри фізики і хімії твердого тіла</w:t>
            </w:r>
          </w:p>
        </w:tc>
      </w:tr>
      <w:tr w:rsidR="002C2330" w:rsidRPr="00C67355" w14:paraId="364B842E" w14:textId="77777777" w:rsidTr="004217D3">
        <w:tc>
          <w:tcPr>
            <w:tcW w:w="3462" w:type="dxa"/>
            <w:gridSpan w:val="4"/>
          </w:tcPr>
          <w:p w14:paraId="1D5B5ED3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09" w:type="dxa"/>
            <w:gridSpan w:val="6"/>
          </w:tcPr>
          <w:p w14:paraId="55519845" w14:textId="77777777" w:rsidR="002C2330" w:rsidRPr="00C67355" w:rsidRDefault="0076083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+380956991785</w:t>
            </w:r>
          </w:p>
        </w:tc>
      </w:tr>
      <w:tr w:rsidR="002C2330" w:rsidRPr="00D50376" w14:paraId="575591F0" w14:textId="77777777" w:rsidTr="004217D3">
        <w:tc>
          <w:tcPr>
            <w:tcW w:w="3462" w:type="dxa"/>
            <w:gridSpan w:val="4"/>
          </w:tcPr>
          <w:p w14:paraId="0A1AAEE2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09" w:type="dxa"/>
            <w:gridSpan w:val="6"/>
          </w:tcPr>
          <w:p w14:paraId="3CB3C33B" w14:textId="77777777" w:rsidR="002C2330" w:rsidRPr="00976DD6" w:rsidRDefault="003B269C" w:rsidP="00395013">
            <w:pPr>
              <w:jc w:val="both"/>
              <w:rPr>
                <w:lang w:val="uk-UA"/>
              </w:rPr>
            </w:pPr>
            <w:hyperlink r:id="rId6" w:history="1">
              <w:r w:rsidR="00760833" w:rsidRPr="00C971E4">
                <w:rPr>
                  <w:rStyle w:val="a8"/>
                  <w:lang w:val="en-US"/>
                </w:rPr>
                <w:t>lyubomyr</w:t>
              </w:r>
              <w:r w:rsidR="00760833" w:rsidRPr="00976DD6">
                <w:rPr>
                  <w:rStyle w:val="a8"/>
                  <w:lang w:val="uk-UA"/>
                </w:rPr>
                <w:t>.</w:t>
              </w:r>
              <w:r w:rsidR="00760833" w:rsidRPr="00C971E4">
                <w:rPr>
                  <w:rStyle w:val="a8"/>
                  <w:lang w:val="en-US"/>
                </w:rPr>
                <w:t>nykyruy</w:t>
              </w:r>
              <w:r w:rsidR="00760833" w:rsidRPr="00976DD6">
                <w:rPr>
                  <w:rStyle w:val="a8"/>
                  <w:lang w:val="uk-UA"/>
                </w:rPr>
                <w:t>@</w:t>
              </w:r>
              <w:r w:rsidR="00760833" w:rsidRPr="00C971E4">
                <w:rPr>
                  <w:rStyle w:val="a8"/>
                  <w:lang w:val="en-US"/>
                </w:rPr>
                <w:t>pnu</w:t>
              </w:r>
              <w:r w:rsidR="00760833" w:rsidRPr="00976DD6">
                <w:rPr>
                  <w:rStyle w:val="a8"/>
                  <w:lang w:val="uk-UA"/>
                </w:rPr>
                <w:t>.</w:t>
              </w:r>
              <w:r w:rsidR="00760833" w:rsidRPr="00C971E4">
                <w:rPr>
                  <w:rStyle w:val="a8"/>
                  <w:lang w:val="en-US"/>
                </w:rPr>
                <w:t>edu</w:t>
              </w:r>
              <w:r w:rsidR="00760833" w:rsidRPr="00976DD6">
                <w:rPr>
                  <w:rStyle w:val="a8"/>
                  <w:lang w:val="uk-UA"/>
                </w:rPr>
                <w:t>.</w:t>
              </w:r>
              <w:proofErr w:type="spellStart"/>
              <w:r w:rsidR="00760833" w:rsidRPr="00C971E4">
                <w:rPr>
                  <w:rStyle w:val="a8"/>
                  <w:lang w:val="en-US"/>
                </w:rPr>
                <w:t>ua</w:t>
              </w:r>
              <w:proofErr w:type="spellEnd"/>
            </w:hyperlink>
            <w:r w:rsidR="00760833" w:rsidRPr="00976DD6">
              <w:rPr>
                <w:lang w:val="uk-UA"/>
              </w:rPr>
              <w:t xml:space="preserve"> </w:t>
            </w:r>
          </w:p>
        </w:tc>
      </w:tr>
      <w:tr w:rsidR="002C2330" w:rsidRPr="00C67355" w14:paraId="2075FF20" w14:textId="77777777" w:rsidTr="004217D3">
        <w:tc>
          <w:tcPr>
            <w:tcW w:w="3462" w:type="dxa"/>
            <w:gridSpan w:val="4"/>
          </w:tcPr>
          <w:p w14:paraId="08CC866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09" w:type="dxa"/>
            <w:gridSpan w:val="6"/>
          </w:tcPr>
          <w:p w14:paraId="294D95BB" w14:textId="77777777" w:rsidR="002C2330" w:rsidRPr="00760833" w:rsidRDefault="0076083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Очний, заочний</w:t>
            </w:r>
          </w:p>
        </w:tc>
      </w:tr>
      <w:tr w:rsidR="002C2330" w:rsidRPr="00C67355" w14:paraId="4BB90B02" w14:textId="77777777" w:rsidTr="004217D3">
        <w:tc>
          <w:tcPr>
            <w:tcW w:w="3462" w:type="dxa"/>
            <w:gridSpan w:val="4"/>
          </w:tcPr>
          <w:p w14:paraId="69C9407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09" w:type="dxa"/>
            <w:gridSpan w:val="6"/>
          </w:tcPr>
          <w:p w14:paraId="68BA3CBD" w14:textId="77777777" w:rsidR="002C2330" w:rsidRPr="00C67355" w:rsidRDefault="00760833" w:rsidP="00395013">
            <w:pPr>
              <w:jc w:val="both"/>
              <w:rPr>
                <w:lang w:val="uk-UA"/>
              </w:rPr>
            </w:pPr>
            <w:r w:rsidRPr="00053FD9">
              <w:rPr>
                <w:lang w:val="uk-UA"/>
              </w:rPr>
              <w:t>3 кредити ECTS, 90 год.</w:t>
            </w:r>
          </w:p>
        </w:tc>
      </w:tr>
      <w:tr w:rsidR="002C2330" w:rsidRPr="00D50376" w14:paraId="530F782F" w14:textId="77777777" w:rsidTr="004217D3">
        <w:tc>
          <w:tcPr>
            <w:tcW w:w="3462" w:type="dxa"/>
            <w:gridSpan w:val="4"/>
          </w:tcPr>
          <w:p w14:paraId="14E8183B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09" w:type="dxa"/>
            <w:gridSpan w:val="6"/>
          </w:tcPr>
          <w:p w14:paraId="26F6545F" w14:textId="77777777" w:rsidR="002C2330" w:rsidRPr="00C67355" w:rsidRDefault="003B269C" w:rsidP="00395013">
            <w:pPr>
              <w:jc w:val="both"/>
              <w:rPr>
                <w:lang w:val="uk-UA"/>
              </w:rPr>
            </w:pPr>
            <w:hyperlink r:id="rId7" w:history="1">
              <w:r w:rsidR="00760833" w:rsidRPr="00C971E4">
                <w:rPr>
                  <w:rStyle w:val="a8"/>
                  <w:lang w:val="uk-UA"/>
                </w:rPr>
                <w:t>http://www.d-learn.pu.if.ua</w:t>
              </w:r>
            </w:hyperlink>
            <w:r w:rsidR="00760833">
              <w:rPr>
                <w:lang w:val="uk-UA"/>
              </w:rPr>
              <w:t xml:space="preserve"> </w:t>
            </w:r>
          </w:p>
        </w:tc>
      </w:tr>
      <w:tr w:rsidR="002C2330" w:rsidRPr="00C67355" w14:paraId="3650B2E6" w14:textId="77777777" w:rsidTr="004217D3">
        <w:tc>
          <w:tcPr>
            <w:tcW w:w="3462" w:type="dxa"/>
            <w:gridSpan w:val="4"/>
          </w:tcPr>
          <w:p w14:paraId="13827B58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09" w:type="dxa"/>
            <w:gridSpan w:val="6"/>
          </w:tcPr>
          <w:p w14:paraId="0FC29166" w14:textId="77777777"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14:paraId="052CC4FE" w14:textId="77777777" w:rsidTr="005321FE">
        <w:tc>
          <w:tcPr>
            <w:tcW w:w="9571" w:type="dxa"/>
            <w:gridSpan w:val="10"/>
          </w:tcPr>
          <w:p w14:paraId="50EBE7E9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D50376" w14:paraId="5DED97DA" w14:textId="77777777" w:rsidTr="005321FE">
        <w:tc>
          <w:tcPr>
            <w:tcW w:w="9571" w:type="dxa"/>
            <w:gridSpan w:val="10"/>
          </w:tcPr>
          <w:p w14:paraId="3DB1FA63" w14:textId="2E7A47FA" w:rsidR="00F27485" w:rsidRPr="00F27485" w:rsidRDefault="00F27485" w:rsidP="00395013">
            <w:pPr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27485">
              <w:rPr>
                <w:sz w:val="23"/>
                <w:szCs w:val="23"/>
                <w:lang w:val="uk-UA"/>
              </w:rPr>
              <w:t xml:space="preserve">Здобувач </w:t>
            </w:r>
            <w:proofErr w:type="spellStart"/>
            <w:r>
              <w:rPr>
                <w:sz w:val="23"/>
                <w:szCs w:val="23"/>
                <w:lang w:val="uk-UA"/>
              </w:rPr>
              <w:t>освітньо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-наукового рівня </w:t>
            </w:r>
            <w:proofErr w:type="spellStart"/>
            <w:r w:rsidRPr="00F27485">
              <w:rPr>
                <w:sz w:val="23"/>
                <w:szCs w:val="23"/>
                <w:lang w:val="uk-UA"/>
              </w:rPr>
              <w:t>PhD</w:t>
            </w:r>
            <w:proofErr w:type="spellEnd"/>
            <w:r w:rsidRPr="00F27485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сьогодні </w:t>
            </w:r>
            <w:r w:rsidRPr="00F27485">
              <w:rPr>
                <w:sz w:val="23"/>
                <w:szCs w:val="23"/>
                <w:lang w:val="uk-UA"/>
              </w:rPr>
              <w:t>має можливост</w:t>
            </w:r>
            <w:r>
              <w:rPr>
                <w:sz w:val="23"/>
                <w:szCs w:val="23"/>
                <w:lang w:val="uk-UA"/>
              </w:rPr>
              <w:t>і</w:t>
            </w:r>
            <w:r w:rsidRPr="00F27485">
              <w:rPr>
                <w:sz w:val="23"/>
                <w:szCs w:val="23"/>
                <w:lang w:val="uk-UA"/>
              </w:rPr>
              <w:t xml:space="preserve"> практичної реалізації власної дослідницької ідеї, побудови власної траєкторії розвитку та кар’єри через систему ініціативних проектів, які включають в себе: науково-дослідні роботи та проекти, консультативні та експерті проекти</w:t>
            </w:r>
            <w:r>
              <w:rPr>
                <w:sz w:val="23"/>
                <w:szCs w:val="23"/>
                <w:lang w:val="uk-UA"/>
              </w:rPr>
              <w:t>, які</w:t>
            </w:r>
            <w:r w:rsidRPr="00F27485">
              <w:rPr>
                <w:sz w:val="23"/>
                <w:szCs w:val="23"/>
                <w:lang w:val="uk-UA"/>
              </w:rPr>
              <w:t xml:space="preserve"> можуть бути </w:t>
            </w:r>
            <w:r>
              <w:rPr>
                <w:sz w:val="23"/>
                <w:szCs w:val="23"/>
                <w:lang w:val="uk-UA"/>
              </w:rPr>
              <w:t xml:space="preserve">загальнонаціональними та </w:t>
            </w:r>
            <w:r w:rsidRPr="00F27485">
              <w:rPr>
                <w:sz w:val="23"/>
                <w:szCs w:val="23"/>
                <w:lang w:val="uk-UA"/>
              </w:rPr>
              <w:t xml:space="preserve"> міжнародними; грантовими та комерційними. </w:t>
            </w:r>
            <w:r>
              <w:rPr>
                <w:sz w:val="23"/>
                <w:szCs w:val="23"/>
                <w:lang w:val="uk-UA"/>
              </w:rPr>
              <w:t>Відповідно</w:t>
            </w:r>
            <w:r w:rsidRPr="00F27485">
              <w:rPr>
                <w:sz w:val="23"/>
                <w:szCs w:val="23"/>
                <w:lang w:val="uk-UA"/>
              </w:rPr>
              <w:t xml:space="preserve">, компетенції системного, стратегічного і критичного мислення для розробки планів досліджень, пошуків, </w:t>
            </w:r>
            <w:r>
              <w:rPr>
                <w:sz w:val="23"/>
                <w:szCs w:val="23"/>
                <w:lang w:val="uk-UA"/>
              </w:rPr>
              <w:t>узагальнення висновків</w:t>
            </w:r>
            <w:r w:rsidRPr="00F27485">
              <w:rPr>
                <w:sz w:val="23"/>
                <w:szCs w:val="23"/>
                <w:lang w:val="uk-UA"/>
              </w:rPr>
              <w:t xml:space="preserve">, спрямованих на вирішення актуальних теоретичних і практичних завдань, що мають соціально-економічне, соціально-культурне, освітнє </w:t>
            </w:r>
            <w:r>
              <w:rPr>
                <w:sz w:val="23"/>
                <w:szCs w:val="23"/>
                <w:lang w:val="uk-UA"/>
              </w:rPr>
              <w:t xml:space="preserve">та наукове </w:t>
            </w:r>
            <w:r w:rsidRPr="00F27485">
              <w:rPr>
                <w:sz w:val="23"/>
                <w:szCs w:val="23"/>
                <w:lang w:val="uk-UA"/>
              </w:rPr>
              <w:t xml:space="preserve">значення є необхідною умовою формування сучасних студентів </w:t>
            </w:r>
            <w:proofErr w:type="spellStart"/>
            <w:r w:rsidRPr="00F27485">
              <w:rPr>
                <w:sz w:val="23"/>
                <w:szCs w:val="23"/>
                <w:lang w:val="uk-UA"/>
              </w:rPr>
              <w:t>освітньо</w:t>
            </w:r>
            <w:proofErr w:type="spellEnd"/>
            <w:r w:rsidRPr="00F27485">
              <w:rPr>
                <w:sz w:val="23"/>
                <w:szCs w:val="23"/>
                <w:lang w:val="uk-UA"/>
              </w:rPr>
              <w:t>-наукового рівня вищої освіти</w:t>
            </w:r>
            <w:r>
              <w:rPr>
                <w:sz w:val="23"/>
                <w:szCs w:val="23"/>
                <w:lang w:val="uk-UA"/>
              </w:rPr>
              <w:t>.</w:t>
            </w:r>
          </w:p>
          <w:p w14:paraId="218DF49B" w14:textId="58F15CBE" w:rsidR="00C67355" w:rsidRPr="00C67355" w:rsidRDefault="00760833" w:rsidP="00395013">
            <w:pPr>
              <w:jc w:val="both"/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Зміст курсу передбачає висвітлення основних теоретичних основ, питань методики, технології та організації науково-дослідн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их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проектів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, тобто теоретичного і практичного підґрунтя для ефективно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го планування та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організації аспірантами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 xml:space="preserve">власних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наукових досліджень. Оволодіння методологією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підготовки проектів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, методами та необхідним інструментарієм в сучасн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ому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суспільств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сприятиме підвищенню якості наукового дослідження, набуття відповідного практичного досвіду поєднання теоретичних знань і практичних навиків, успішному захисту  </w:t>
            </w:r>
            <w:r w:rsidR="00C66222">
              <w:rPr>
                <w:rFonts w:eastAsiaTheme="minorHAnsi"/>
                <w:sz w:val="22"/>
                <w:szCs w:val="22"/>
                <w:lang w:val="uk-UA" w:eastAsia="en-US"/>
              </w:rPr>
              <w:t>дисертаційних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робіт.</w:t>
            </w:r>
            <w:r w:rsidR="00491290">
              <w:rPr>
                <w:rFonts w:eastAsiaTheme="minorHAnsi"/>
                <w:sz w:val="22"/>
                <w:szCs w:val="22"/>
                <w:lang w:val="uk-UA" w:eastAsia="en-US"/>
              </w:rPr>
              <w:t xml:space="preserve"> Вміння написати проект та знання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вимог, що встановлені організаціями та фондами, що фінансово підтримують виконання наукових досліджень</w:t>
            </w:r>
            <w:r w:rsidR="00491290">
              <w:rPr>
                <w:rFonts w:eastAsiaTheme="minorHAnsi"/>
                <w:sz w:val="22"/>
                <w:szCs w:val="22"/>
                <w:lang w:val="uk-UA" w:eastAsia="en-US"/>
              </w:rPr>
              <w:t xml:space="preserve"> є запорукою </w:t>
            </w:r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 xml:space="preserve">якісної дисертаційної роботи, якісного, надійного та </w:t>
            </w:r>
            <w:proofErr w:type="spellStart"/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методично</w:t>
            </w:r>
            <w:proofErr w:type="spellEnd"/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правильного підходу до її виконання, а також до створення умов академічної, у </w:t>
            </w:r>
            <w:proofErr w:type="spellStart"/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т.ч</w:t>
            </w:r>
            <w:proofErr w:type="spellEnd"/>
            <w:r w:rsidR="00CE5CA0">
              <w:rPr>
                <w:rFonts w:eastAsiaTheme="minorHAnsi"/>
                <w:sz w:val="22"/>
                <w:szCs w:val="22"/>
                <w:lang w:val="uk-UA" w:eastAsia="en-US"/>
              </w:rPr>
              <w:t>., й міжнародної, мобільності.</w:t>
            </w:r>
          </w:p>
        </w:tc>
      </w:tr>
      <w:tr w:rsidR="00C67355" w:rsidRPr="00C67355" w14:paraId="103BE9D6" w14:textId="77777777" w:rsidTr="005321FE">
        <w:tc>
          <w:tcPr>
            <w:tcW w:w="9571" w:type="dxa"/>
            <w:gridSpan w:val="10"/>
          </w:tcPr>
          <w:p w14:paraId="7EE77336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14:paraId="3C7C94FE" w14:textId="77777777" w:rsidTr="005321FE">
        <w:tc>
          <w:tcPr>
            <w:tcW w:w="9571" w:type="dxa"/>
            <w:gridSpan w:val="10"/>
          </w:tcPr>
          <w:p w14:paraId="65867D19" w14:textId="08C148F9" w:rsidR="00760833" w:rsidRPr="00CD0675" w:rsidRDefault="00760833" w:rsidP="00760833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Мета курсу: оволодіння методами 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виконання та управління 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наукового дослідження, формування системи знань та вмінь, необхідних для самостійного </w:t>
            </w:r>
            <w:r w:rsidR="00CE5CA0" w:rsidRPr="00CD0675">
              <w:rPr>
                <w:rFonts w:eastAsiaTheme="minorHAnsi"/>
                <w:sz w:val="22"/>
                <w:szCs w:val="22"/>
                <w:lang w:val="uk-UA" w:eastAsia="en-US"/>
              </w:rPr>
              <w:t>планування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якісних та конкурентних 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наукових досліджень.</w:t>
            </w:r>
          </w:p>
          <w:p w14:paraId="737A176C" w14:textId="77777777" w:rsidR="00760833" w:rsidRPr="00CD0675" w:rsidRDefault="00760833" w:rsidP="00760833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Завдання курсу:</w:t>
            </w:r>
          </w:p>
          <w:p w14:paraId="2DE1874B" w14:textId="66927C82" w:rsidR="00760833" w:rsidRPr="00CD0675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формування цілісних теоретичних уявлень про загальн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>і підходи щодо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методологі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>ї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наукової творчості;</w:t>
            </w:r>
          </w:p>
          <w:p w14:paraId="401001DE" w14:textId="249A48FC" w:rsidR="00760833" w:rsidRPr="00CD0675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формулювання наукових знань з найбільш актуальних проблем </w:t>
            </w:r>
            <w:r w:rsidR="00F27485" w:rsidRPr="00CD0675">
              <w:rPr>
                <w:rFonts w:eastAsiaTheme="minorHAnsi"/>
                <w:sz w:val="22"/>
                <w:szCs w:val="22"/>
                <w:lang w:val="uk-UA" w:eastAsia="en-US"/>
              </w:rPr>
              <w:t>ініціалізації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>,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виконання та управління 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наукового </w:t>
            </w:r>
            <w:r w:rsidR="00F27485"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(грантового) 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дослідження;</w:t>
            </w:r>
          </w:p>
          <w:p w14:paraId="41246F46" w14:textId="77777777" w:rsidR="00760833" w:rsidRPr="00CD0675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розкриття специфіки наукового пізнання та формування філософського підходу до методології пізнавальної діяльності;</w:t>
            </w:r>
          </w:p>
          <w:p w14:paraId="2DCDB12A" w14:textId="1B8D3163" w:rsidR="00760833" w:rsidRPr="00CD0675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оволодіння </w:t>
            </w:r>
            <w:r w:rsidR="00CE5CA0" w:rsidRPr="00CD0675">
              <w:rPr>
                <w:rFonts w:eastAsiaTheme="minorHAnsi"/>
                <w:sz w:val="22"/>
                <w:szCs w:val="22"/>
                <w:lang w:val="uk-UA" w:eastAsia="en-US"/>
              </w:rPr>
              <w:t>аспірантами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понятійним апаратом і методикою виконання й оформлення науково-дослідної роботи та її захисту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/ презентації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;</w:t>
            </w:r>
          </w:p>
          <w:p w14:paraId="47125ED7" w14:textId="12AC7623" w:rsidR="00760833" w:rsidRPr="00CD0675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ознайомлення зі способами роботи </w:t>
            </w:r>
            <w:r w:rsidR="001611B1" w:rsidRPr="00CD0675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з науково-технічною інформацією;</w:t>
            </w:r>
          </w:p>
          <w:p w14:paraId="26CD3BFE" w14:textId="77777777" w:rsidR="00760833" w:rsidRPr="00CD0675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з загальними вимогами до наукових досліджень, основ їх планування, організації та виконання;</w:t>
            </w:r>
          </w:p>
          <w:p w14:paraId="2A83499B" w14:textId="1D0E2162" w:rsidR="00760833" w:rsidRPr="00CD0675" w:rsidRDefault="00760833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з вимогами до оформлення різних видів дослідницьких робіт;</w:t>
            </w:r>
          </w:p>
          <w:p w14:paraId="42236DDD" w14:textId="49497AD9" w:rsidR="00CE5CA0" w:rsidRPr="00CD0675" w:rsidRDefault="00CE5CA0" w:rsidP="00760833">
            <w:pPr>
              <w:pStyle w:val="a5"/>
              <w:widowControl w:val="0"/>
              <w:numPr>
                <w:ilvl w:val="0"/>
                <w:numId w:val="7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із принципами роботи міжнародних фундацій, що фінансово підтримують виконання наукових досліджень;</w:t>
            </w:r>
          </w:p>
          <w:p w14:paraId="09AB79FB" w14:textId="77777777" w:rsidR="004217D3" w:rsidRPr="00CD0675" w:rsidRDefault="00760833" w:rsidP="004217D3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засвоєння методів планування та проведення наукових досліджень, обробки й аналізу їхніх результатів, оформлення та представлення результатів дослідження;</w:t>
            </w:r>
          </w:p>
          <w:p w14:paraId="12734E47" w14:textId="147DB006" w:rsidR="00C67355" w:rsidRPr="00CD0675" w:rsidRDefault="00760833" w:rsidP="004217D3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ознайомлення </w:t>
            </w:r>
            <w:r w:rsidR="00CE5CA0" w:rsidRPr="00CD0675">
              <w:rPr>
                <w:rFonts w:eastAsiaTheme="minorHAnsi"/>
                <w:sz w:val="22"/>
                <w:szCs w:val="22"/>
                <w:lang w:val="uk-UA" w:eastAsia="en-US"/>
              </w:rPr>
              <w:t>аспірантів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з організацією науково-дослідної роботи студентів, викладачів</w:t>
            </w:r>
            <w:r w:rsidRPr="00CD0675">
              <w:rPr>
                <w:color w:val="2B2B2B"/>
                <w:lang w:val="uk-UA" w:eastAsia="uk-UA"/>
              </w:rPr>
              <w:t xml:space="preserve">, 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аспірантів, докторантів та ін.</w:t>
            </w:r>
            <w:r w:rsidR="004217D3" w:rsidRPr="00CD0675">
              <w:rPr>
                <w:rFonts w:eastAsiaTheme="minorHAnsi"/>
                <w:lang w:val="uk-UA" w:eastAsia="en-US"/>
              </w:rPr>
              <w:t>;</w:t>
            </w:r>
          </w:p>
          <w:p w14:paraId="6C8EC731" w14:textId="2499EE08" w:rsidR="004217D3" w:rsidRPr="00CD0675" w:rsidRDefault="004217D3" w:rsidP="004217D3">
            <w:pPr>
              <w:pStyle w:val="a5"/>
              <w:widowControl w:val="0"/>
              <w:numPr>
                <w:ilvl w:val="0"/>
                <w:numId w:val="7"/>
              </w:numPr>
              <w:rPr>
                <w:lang w:val="uk-UA"/>
              </w:rPr>
            </w:pP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ознайомлення із профілями науковців у інтернет мережі; оволодіння навиками створення власного профілю</w:t>
            </w:r>
            <w:r w:rsidR="00CE5CA0" w:rsidRPr="00CD0675">
              <w:rPr>
                <w:rFonts w:eastAsiaTheme="minorHAnsi"/>
                <w:sz w:val="22"/>
                <w:szCs w:val="22"/>
                <w:lang w:val="uk-UA" w:eastAsia="en-US"/>
              </w:rPr>
              <w:t>,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 початку </w:t>
            </w:r>
            <w:r w:rsidR="00CE5CA0" w:rsidRPr="00CD0675">
              <w:rPr>
                <w:rFonts w:eastAsiaTheme="minorHAnsi"/>
                <w:sz w:val="22"/>
                <w:szCs w:val="22"/>
                <w:lang w:val="uk-UA" w:eastAsia="en-US"/>
              </w:rPr>
              <w:t xml:space="preserve">та розвитку </w:t>
            </w:r>
            <w:r w:rsidRPr="00CD0675">
              <w:rPr>
                <w:rFonts w:eastAsiaTheme="minorHAnsi"/>
                <w:sz w:val="22"/>
                <w:szCs w:val="22"/>
                <w:lang w:val="uk-UA" w:eastAsia="en-US"/>
              </w:rPr>
              <w:t>наукових комунікацій.</w:t>
            </w:r>
          </w:p>
        </w:tc>
      </w:tr>
      <w:tr w:rsidR="001039A3" w:rsidRPr="00C67355" w14:paraId="6D57EC1A" w14:textId="77777777" w:rsidTr="005321FE">
        <w:tc>
          <w:tcPr>
            <w:tcW w:w="9571" w:type="dxa"/>
            <w:gridSpan w:val="10"/>
          </w:tcPr>
          <w:p w14:paraId="126CA739" w14:textId="77777777" w:rsidR="001039A3" w:rsidRPr="00CD0675" w:rsidRDefault="0084333C" w:rsidP="001039A3">
            <w:pPr>
              <w:jc w:val="center"/>
              <w:rPr>
                <w:b/>
                <w:lang w:val="uk-UA"/>
              </w:rPr>
            </w:pPr>
            <w:r w:rsidRPr="00CD0675"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84333C" w:rsidRPr="00C67355" w14:paraId="1ECFDB13" w14:textId="77777777" w:rsidTr="005321FE">
        <w:tc>
          <w:tcPr>
            <w:tcW w:w="9571" w:type="dxa"/>
            <w:gridSpan w:val="10"/>
          </w:tcPr>
          <w:p w14:paraId="6C0ADD3F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i/>
                <w:lang w:val="uk-UA"/>
              </w:rPr>
              <w:t>Інтегральна</w:t>
            </w:r>
            <w:r w:rsidRPr="00CD0675">
              <w:rPr>
                <w:lang w:val="uk-UA"/>
              </w:rPr>
              <w:t>. Здатність розв’язувати комплексні проблеми в галузі професійної діяльності, у тому числі дослідницько-інноваційної діяльності, що передбачає глибоке переосмислення наявних та створення цілісних знань та/або професійної практики.</w:t>
            </w:r>
          </w:p>
          <w:p w14:paraId="521EF689" w14:textId="08E4B738" w:rsidR="003B269C" w:rsidRPr="003B269C" w:rsidRDefault="003B269C" w:rsidP="00CD0675">
            <w:pPr>
              <w:spacing w:line="276" w:lineRule="auto"/>
              <w:jc w:val="both"/>
              <w:rPr>
                <w:lang w:val="uk-UA"/>
              </w:rPr>
            </w:pPr>
            <w:r w:rsidRPr="003B269C">
              <w:rPr>
                <w:u w:val="single"/>
                <w:lang w:val="uk-UA"/>
              </w:rPr>
              <w:t>Загальні компетентності</w:t>
            </w:r>
            <w:r w:rsidRPr="003B269C">
              <w:rPr>
                <w:lang w:val="uk-UA"/>
              </w:rPr>
              <w:t>:</w:t>
            </w:r>
          </w:p>
          <w:p w14:paraId="77D69EAA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ЗК1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rPr>
                <w:lang w:val="uk-UA"/>
              </w:rPr>
              <w:t>Здатність до абстрактного та критичного мислення.</w:t>
            </w:r>
          </w:p>
          <w:p w14:paraId="7F91C56F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ЗК2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rPr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16501FE6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ЗК4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rPr>
                <w:lang w:val="uk-UA"/>
              </w:rPr>
              <w:t xml:space="preserve">Здатність розробляти та керувати науковими </w:t>
            </w:r>
            <w:proofErr w:type="spellStart"/>
            <w:r w:rsidRPr="00CD0675">
              <w:rPr>
                <w:lang w:val="uk-UA"/>
              </w:rPr>
              <w:t>проєктами</w:t>
            </w:r>
            <w:proofErr w:type="spellEnd"/>
            <w:r w:rsidRPr="00CD0675">
              <w:rPr>
                <w:lang w:val="uk-UA"/>
              </w:rPr>
              <w:t>.</w:t>
            </w:r>
          </w:p>
          <w:p w14:paraId="1AE475AD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ЗК5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rPr>
                <w:lang w:val="uk-UA"/>
              </w:rPr>
              <w:t>Здатність визначення нових перспективних напрямів наукових досліджень у  галузі права.</w:t>
            </w:r>
          </w:p>
          <w:p w14:paraId="49832D63" w14:textId="77777777" w:rsid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ЗК6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rPr>
                <w:lang w:val="uk-UA"/>
              </w:rPr>
              <w:t>Здатність самостійного визначення, організації та проведення наукових досліджень, результати яких мають наукову новизну, теоретичне та практичне значення.</w:t>
            </w:r>
          </w:p>
          <w:p w14:paraId="4955A3D4" w14:textId="757AD69A" w:rsidR="003B269C" w:rsidRPr="00CD0675" w:rsidRDefault="003B269C" w:rsidP="00CD0675">
            <w:pPr>
              <w:spacing w:line="276" w:lineRule="auto"/>
              <w:jc w:val="both"/>
              <w:rPr>
                <w:lang w:val="uk-UA"/>
              </w:rPr>
            </w:pPr>
            <w:r w:rsidRPr="003B269C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:</w:t>
            </w:r>
          </w:p>
          <w:p w14:paraId="48710A01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СК1</w:t>
            </w:r>
            <w:r w:rsidRPr="00CD0675">
              <w:rPr>
                <w:sz w:val="22"/>
                <w:szCs w:val="22"/>
                <w:lang w:val="uk-UA"/>
              </w:rPr>
              <w:t xml:space="preserve"> </w:t>
            </w:r>
            <w:r w:rsidRPr="00CD0675">
              <w:rPr>
                <w:lang w:val="uk-UA"/>
              </w:rPr>
              <w:t>Здатність виконувати оригінальні дослідження, досягати наукових результатів, які створюють нові знання у правовій сфері та дотичних до неї міждисциплінарних напрямах і можуть бути опубліковані у провідних наукових виданнях з права та суміжних галузей.</w:t>
            </w:r>
          </w:p>
          <w:p w14:paraId="5E70801D" w14:textId="2191A922" w:rsidR="00571AE9" w:rsidRPr="00CD0675" w:rsidRDefault="00CD0675" w:rsidP="00571AE9">
            <w:pPr>
              <w:pStyle w:val="Default"/>
              <w:jc w:val="both"/>
              <w:rPr>
                <w:sz w:val="23"/>
                <w:szCs w:val="23"/>
              </w:rPr>
            </w:pPr>
            <w:r w:rsidRPr="00CD0675">
              <w:t>СК3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t>Здатність використовувати ресурси (в тому числі утворені із використанням інформаційних технологій), необхідні для проведення дослідження у галузі права.</w:t>
            </w:r>
          </w:p>
          <w:p w14:paraId="5A12D059" w14:textId="21B6E526" w:rsidR="005321FE" w:rsidRPr="00CD0675" w:rsidRDefault="005321FE" w:rsidP="00AF6F3B">
            <w:pPr>
              <w:pStyle w:val="a5"/>
              <w:widowControl w:val="0"/>
              <w:jc w:val="both"/>
              <w:rPr>
                <w:b/>
                <w:lang w:val="uk-UA"/>
              </w:rPr>
            </w:pPr>
          </w:p>
        </w:tc>
      </w:tr>
      <w:tr w:rsidR="0084333C" w:rsidRPr="00C67355" w14:paraId="49656A2B" w14:textId="77777777" w:rsidTr="005321FE">
        <w:tc>
          <w:tcPr>
            <w:tcW w:w="9571" w:type="dxa"/>
            <w:gridSpan w:val="10"/>
          </w:tcPr>
          <w:p w14:paraId="27141B3B" w14:textId="77777777"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365B0E" w14:paraId="0BCBE8B5" w14:textId="77777777" w:rsidTr="005321FE">
        <w:tc>
          <w:tcPr>
            <w:tcW w:w="9571" w:type="dxa"/>
            <w:gridSpan w:val="10"/>
          </w:tcPr>
          <w:p w14:paraId="0E0327C2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ПРН5</w:t>
            </w:r>
            <w:r w:rsidRPr="00CD0675">
              <w:rPr>
                <w:sz w:val="22"/>
                <w:szCs w:val="22"/>
                <w:lang w:val="uk-UA"/>
              </w:rPr>
              <w:t xml:space="preserve"> </w:t>
            </w:r>
            <w:r w:rsidRPr="00CD0675">
              <w:rPr>
                <w:lang w:val="uk-UA"/>
              </w:rPr>
              <w:t xml:space="preserve">Планувати наукові дослідження, розробляти наукові </w:t>
            </w:r>
            <w:proofErr w:type="spellStart"/>
            <w:r w:rsidRPr="00CD0675">
              <w:rPr>
                <w:lang w:val="uk-UA"/>
              </w:rPr>
              <w:t>проєкти</w:t>
            </w:r>
            <w:proofErr w:type="spellEnd"/>
            <w:r w:rsidRPr="00CD0675">
              <w:rPr>
                <w:lang w:val="uk-UA"/>
              </w:rPr>
              <w:t>, складати пропозиції щодо фінансування наукових досліджень.</w:t>
            </w:r>
          </w:p>
          <w:p w14:paraId="2A1902C9" w14:textId="77777777" w:rsidR="00CD0675" w:rsidRPr="00CD0675" w:rsidRDefault="00CD0675" w:rsidP="00CD0675">
            <w:pPr>
              <w:spacing w:line="276" w:lineRule="auto"/>
              <w:jc w:val="both"/>
              <w:rPr>
                <w:lang w:val="uk-UA"/>
              </w:rPr>
            </w:pPr>
            <w:r w:rsidRPr="00CD0675">
              <w:rPr>
                <w:lang w:val="uk-UA"/>
              </w:rPr>
              <w:t>ПРН7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rPr>
                <w:lang w:val="uk-UA"/>
              </w:rPr>
              <w:t>Розуміти загальні принципи та методи правових наук, а також методологію наукових досліджень, застосовувати їх у власних наукових дослідженнях в юридичній та у викладацькій практиках.</w:t>
            </w:r>
          </w:p>
          <w:p w14:paraId="666A0197" w14:textId="23FC4FE4" w:rsidR="00365B0E" w:rsidRPr="00365B0E" w:rsidRDefault="00CD0675" w:rsidP="00CD0675">
            <w:pPr>
              <w:widowControl w:val="0"/>
              <w:rPr>
                <w:lang w:val="uk-UA"/>
              </w:rPr>
            </w:pPr>
            <w:r w:rsidRPr="00CD0675">
              <w:rPr>
                <w:lang w:val="uk-UA"/>
              </w:rPr>
              <w:t>ПРН8</w:t>
            </w:r>
            <w:r w:rsidRPr="00CD0675">
              <w:rPr>
                <w:sz w:val="22"/>
                <w:szCs w:val="22"/>
              </w:rPr>
              <w:t xml:space="preserve"> </w:t>
            </w:r>
            <w:r w:rsidRPr="00CD0675">
              <w:rPr>
                <w:lang w:val="uk-UA"/>
              </w:rPr>
              <w:t>Розробляти пропозиції щодо вдосконалення чинного законодавства на основі проведеного дослідження.</w:t>
            </w:r>
          </w:p>
        </w:tc>
      </w:tr>
      <w:tr w:rsidR="00C67355" w:rsidRPr="00C67355" w14:paraId="475D36D0" w14:textId="77777777" w:rsidTr="005321FE">
        <w:tc>
          <w:tcPr>
            <w:tcW w:w="9571" w:type="dxa"/>
            <w:gridSpan w:val="10"/>
          </w:tcPr>
          <w:p w14:paraId="28AB1BFB" w14:textId="77777777"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14:paraId="2566FDC8" w14:textId="77777777" w:rsidTr="005321FE">
        <w:tc>
          <w:tcPr>
            <w:tcW w:w="9571" w:type="dxa"/>
            <w:gridSpan w:val="10"/>
          </w:tcPr>
          <w:p w14:paraId="5E0CA01A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4217D3" w:rsidRPr="00053FD9">
              <w:rPr>
                <w:rFonts w:eastAsiaTheme="minorHAnsi"/>
                <w:lang w:val="uk-UA" w:eastAsia="en-US"/>
              </w:rPr>
              <w:t>навчальної дисципліни 90 год.</w:t>
            </w:r>
          </w:p>
        </w:tc>
      </w:tr>
      <w:tr w:rsidR="00C67355" w:rsidRPr="00C67355" w14:paraId="231F228E" w14:textId="77777777" w:rsidTr="004217D3">
        <w:tc>
          <w:tcPr>
            <w:tcW w:w="5708" w:type="dxa"/>
            <w:gridSpan w:val="6"/>
          </w:tcPr>
          <w:p w14:paraId="7B22B08D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63" w:type="dxa"/>
            <w:gridSpan w:val="4"/>
          </w:tcPr>
          <w:p w14:paraId="7CDC1BB0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317B0F48" w14:textId="77777777" w:rsidTr="004217D3">
        <w:tc>
          <w:tcPr>
            <w:tcW w:w="5708" w:type="dxa"/>
            <w:gridSpan w:val="6"/>
          </w:tcPr>
          <w:p w14:paraId="7C7D5F8C" w14:textId="77777777" w:rsidR="000C46E3" w:rsidRDefault="000C46E3" w:rsidP="005321F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63" w:type="dxa"/>
            <w:gridSpan w:val="4"/>
          </w:tcPr>
          <w:p w14:paraId="70C78660" w14:textId="0D9CDC65" w:rsidR="000C46E3" w:rsidRPr="000C46E3" w:rsidRDefault="00EC08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217D3">
              <w:rPr>
                <w:lang w:val="uk-UA"/>
              </w:rPr>
              <w:t xml:space="preserve"> год</w:t>
            </w:r>
          </w:p>
        </w:tc>
      </w:tr>
      <w:tr w:rsidR="000C46E3" w:rsidRPr="00C67355" w14:paraId="15871605" w14:textId="77777777" w:rsidTr="004217D3">
        <w:tc>
          <w:tcPr>
            <w:tcW w:w="5708" w:type="dxa"/>
            <w:gridSpan w:val="6"/>
          </w:tcPr>
          <w:p w14:paraId="5906011D" w14:textId="77777777" w:rsidR="000C46E3" w:rsidRDefault="000C46E3" w:rsidP="005321F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63" w:type="dxa"/>
            <w:gridSpan w:val="4"/>
          </w:tcPr>
          <w:p w14:paraId="5665AC12" w14:textId="2437BB02" w:rsidR="000C46E3" w:rsidRPr="00C67355" w:rsidRDefault="00EC08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217D3">
              <w:rPr>
                <w:lang w:val="uk-UA"/>
              </w:rPr>
              <w:t xml:space="preserve"> год</w:t>
            </w:r>
          </w:p>
        </w:tc>
      </w:tr>
      <w:tr w:rsidR="000C46E3" w:rsidRPr="00C67355" w14:paraId="0C90327A" w14:textId="77777777" w:rsidTr="004217D3">
        <w:tc>
          <w:tcPr>
            <w:tcW w:w="5708" w:type="dxa"/>
            <w:gridSpan w:val="6"/>
          </w:tcPr>
          <w:p w14:paraId="7A646B5F" w14:textId="77777777" w:rsidR="000C46E3" w:rsidRDefault="000C46E3" w:rsidP="005321F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63" w:type="dxa"/>
            <w:gridSpan w:val="4"/>
          </w:tcPr>
          <w:p w14:paraId="79780622" w14:textId="77777777" w:rsidR="000C46E3" w:rsidRPr="00C67355" w:rsidRDefault="004217D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год</w:t>
            </w:r>
          </w:p>
        </w:tc>
      </w:tr>
      <w:tr w:rsidR="000C46E3" w:rsidRPr="00C67355" w14:paraId="2F70CD8A" w14:textId="77777777" w:rsidTr="005321FE">
        <w:tc>
          <w:tcPr>
            <w:tcW w:w="9571" w:type="dxa"/>
            <w:gridSpan w:val="10"/>
          </w:tcPr>
          <w:p w14:paraId="12ED29F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14:paraId="1951EE67" w14:textId="77777777" w:rsidTr="004217D3">
        <w:tc>
          <w:tcPr>
            <w:tcW w:w="2488" w:type="dxa"/>
            <w:gridSpan w:val="2"/>
            <w:vAlign w:val="center"/>
          </w:tcPr>
          <w:p w14:paraId="1589FFED" w14:textId="77777777" w:rsidR="000C46E3" w:rsidRPr="000C46E3" w:rsidRDefault="000C46E3" w:rsidP="005321F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8" w:type="dxa"/>
            <w:gridSpan w:val="3"/>
            <w:vAlign w:val="center"/>
          </w:tcPr>
          <w:p w14:paraId="6A2BE3F0" w14:textId="77777777" w:rsidR="000C46E3" w:rsidRPr="000C46E3" w:rsidRDefault="000C46E3" w:rsidP="005321F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8" w:type="dxa"/>
            <w:gridSpan w:val="3"/>
          </w:tcPr>
          <w:p w14:paraId="30D45AE9" w14:textId="77777777" w:rsidR="000C46E3" w:rsidRPr="000C46E3" w:rsidRDefault="000C46E3" w:rsidP="005321F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DB065A0" w14:textId="77777777" w:rsidR="000C46E3" w:rsidRPr="000C46E3" w:rsidRDefault="000C46E3" w:rsidP="005321F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47" w:type="dxa"/>
            <w:gridSpan w:val="2"/>
          </w:tcPr>
          <w:p w14:paraId="533781D1" w14:textId="77777777" w:rsidR="000C46E3" w:rsidRPr="00483A45" w:rsidRDefault="00483A45" w:rsidP="005321F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37C0ED6" w14:textId="77777777" w:rsidR="000C46E3" w:rsidRPr="000C46E3" w:rsidRDefault="000C46E3" w:rsidP="005321F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14:paraId="77BA59C9" w14:textId="77777777" w:rsidTr="004217D3">
        <w:tc>
          <w:tcPr>
            <w:tcW w:w="2488" w:type="dxa"/>
            <w:gridSpan w:val="2"/>
          </w:tcPr>
          <w:p w14:paraId="7733A3E8" w14:textId="77777777" w:rsidR="000C46E3" w:rsidRPr="00C67355" w:rsidRDefault="004217D3" w:rsidP="002B3D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68" w:type="dxa"/>
            <w:gridSpan w:val="3"/>
          </w:tcPr>
          <w:p w14:paraId="1323E7DB" w14:textId="674E47BA" w:rsidR="000C46E3" w:rsidRPr="003B269C" w:rsidRDefault="003B269C" w:rsidP="002B3D72">
            <w:pPr>
              <w:jc w:val="center"/>
              <w:rPr>
                <w:lang w:val="uk-UA"/>
              </w:rPr>
            </w:pPr>
            <w:r w:rsidRPr="003B269C">
              <w:rPr>
                <w:lang w:val="uk-UA"/>
              </w:rPr>
              <w:t>081-Право</w:t>
            </w:r>
            <w:bookmarkStart w:id="0" w:name="_GoBack"/>
            <w:bookmarkEnd w:id="0"/>
          </w:p>
        </w:tc>
        <w:tc>
          <w:tcPr>
            <w:tcW w:w="2368" w:type="dxa"/>
            <w:gridSpan w:val="3"/>
          </w:tcPr>
          <w:p w14:paraId="638277AD" w14:textId="77777777" w:rsidR="000C46E3" w:rsidRPr="00C67355" w:rsidRDefault="004217D3" w:rsidP="002B3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47" w:type="dxa"/>
            <w:gridSpan w:val="2"/>
          </w:tcPr>
          <w:p w14:paraId="1F360DC1" w14:textId="77777777" w:rsidR="000C46E3" w:rsidRPr="00C67355" w:rsidRDefault="004217D3" w:rsidP="002B3D72">
            <w:pPr>
              <w:jc w:val="center"/>
              <w:rPr>
                <w:lang w:val="uk-UA"/>
              </w:rPr>
            </w:pPr>
            <w:r w:rsidRPr="00053FD9">
              <w:rPr>
                <w:rFonts w:eastAsiaTheme="minorHAnsi"/>
                <w:lang w:val="uk-UA" w:eastAsia="en-US"/>
              </w:rPr>
              <w:t>нормативний</w:t>
            </w:r>
          </w:p>
        </w:tc>
      </w:tr>
      <w:tr w:rsidR="00AC76DC" w:rsidRPr="00C67355" w14:paraId="5A9B34D5" w14:textId="77777777" w:rsidTr="005321FE">
        <w:tc>
          <w:tcPr>
            <w:tcW w:w="9571" w:type="dxa"/>
            <w:gridSpan w:val="10"/>
          </w:tcPr>
          <w:p w14:paraId="43136875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C76DC" w:rsidRPr="00C67355" w14:paraId="7B4E5FDB" w14:textId="77777777" w:rsidTr="004217D3">
        <w:tc>
          <w:tcPr>
            <w:tcW w:w="1725" w:type="dxa"/>
          </w:tcPr>
          <w:p w14:paraId="0F46B18A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59" w:type="dxa"/>
            <w:gridSpan w:val="2"/>
          </w:tcPr>
          <w:p w14:paraId="2615ACAA" w14:textId="77777777"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288DABB5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89" w:type="dxa"/>
            <w:gridSpan w:val="2"/>
          </w:tcPr>
          <w:p w14:paraId="5E011033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33" w:type="dxa"/>
            <w:gridSpan w:val="2"/>
          </w:tcPr>
          <w:p w14:paraId="69D75F5F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3" w:type="dxa"/>
          </w:tcPr>
          <w:p w14:paraId="0672C078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4217D3" w:rsidRPr="00C67355" w14:paraId="56F9BB94" w14:textId="77777777" w:rsidTr="004217D3">
        <w:tc>
          <w:tcPr>
            <w:tcW w:w="1725" w:type="dxa"/>
          </w:tcPr>
          <w:p w14:paraId="08C05178" w14:textId="3A80F4EA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1.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Загальні поняття наукового дослідження та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наукового пізнання. Вибір напрямку наукового дослідження. Організація і проведення наукових досліджень. Послідовність та етапи виконання наукових досліджень. Формулювання проблеми та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обгрунтування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мети дослідження. Підготовка документації по плануванню наукових досліджень</w:t>
            </w:r>
          </w:p>
        </w:tc>
        <w:tc>
          <w:tcPr>
            <w:tcW w:w="1559" w:type="dxa"/>
            <w:gridSpan w:val="2"/>
          </w:tcPr>
          <w:p w14:paraId="55021447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Лекція,</w:t>
            </w:r>
          </w:p>
          <w:p w14:paraId="4BD0BDA9" w14:textId="59775772" w:rsidR="004217D3" w:rsidRPr="00053FD9" w:rsidRDefault="00976DD6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2208DC6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48FB42DD" w14:textId="162445A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 xml:space="preserve">2, 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, 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>6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A40F904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Опрацювати лекційний матеріал,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599DFB6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10</w:t>
            </w:r>
          </w:p>
        </w:tc>
        <w:tc>
          <w:tcPr>
            <w:tcW w:w="1593" w:type="dxa"/>
          </w:tcPr>
          <w:p w14:paraId="1CC255F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6667C8E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369240C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23CBA80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розкладом</w:t>
            </w:r>
          </w:p>
        </w:tc>
      </w:tr>
      <w:tr w:rsidR="004217D3" w:rsidRPr="00C67355" w14:paraId="0845A4BD" w14:textId="77777777" w:rsidTr="004217D3">
        <w:tc>
          <w:tcPr>
            <w:tcW w:w="1725" w:type="dxa"/>
          </w:tcPr>
          <w:p w14:paraId="459E0EF5" w14:textId="5EFE2EB8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 2.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Теоретичні та експериментальні наукові дослідження. Стиль наукового мислення. Системний підхід та системний аналіз. Сутність та класифікація експерименту, загальні вимоги до проведення. Класична методика планування експериментальних досліджень. Апроксимація результатів експериментальних досліджень.</w:t>
            </w:r>
            <w:r w:rsid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Дисертаційна робота, як наукове дослідження: поняття, характеристика і вимоги до неї. Основні етапи підготовки дисертаційної роботи. Структура та технічне оформлення.</w:t>
            </w:r>
          </w:p>
        </w:tc>
        <w:tc>
          <w:tcPr>
            <w:tcW w:w="1559" w:type="dxa"/>
            <w:gridSpan w:val="2"/>
          </w:tcPr>
          <w:p w14:paraId="5BB09FF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467214B1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508EF687" w14:textId="2190B723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17946B2B" w14:textId="5E004FBF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[1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>-5</w:t>
            </w:r>
            <w:r w:rsidR="0088662A">
              <w:rPr>
                <w:rFonts w:eastAsiaTheme="minorHAnsi"/>
                <w:sz w:val="22"/>
                <w:szCs w:val="22"/>
                <w:lang w:val="en-US" w:eastAsia="en-US"/>
              </w:rPr>
              <w:t>, 7,8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33E00718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347CFF9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3A65C52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6D486032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0C9F5CDF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8BA907B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3EC58A68" w14:textId="77777777" w:rsidTr="004217D3">
        <w:tc>
          <w:tcPr>
            <w:tcW w:w="1725" w:type="dxa"/>
          </w:tcPr>
          <w:p w14:paraId="72CDA945" w14:textId="738CACDD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 3.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Науково-дослідницький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: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проєкти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МОНУ та НФД. Основні етапи організації конкурсів наукових досліджень. Загальні вимоги до проведення конкурсу, аплікаційна форма, самооцінка та експертиза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проєкту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. Планування бюджету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проєкту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. Формування команди та розподіл ролей / обов’язків.</w:t>
            </w:r>
          </w:p>
        </w:tc>
        <w:tc>
          <w:tcPr>
            <w:tcW w:w="1559" w:type="dxa"/>
            <w:gridSpan w:val="2"/>
          </w:tcPr>
          <w:p w14:paraId="56E3A84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572B4C5B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7DACDF3D" w14:textId="331D30A7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6BFD2AF5" w14:textId="5070CF2D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[2, 3,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A65E652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6241D897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131EFBEA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26B2F86E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3AF1652F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9C39204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2C4BFD2B" w14:textId="77777777" w:rsidTr="004217D3">
        <w:tc>
          <w:tcPr>
            <w:tcW w:w="1725" w:type="dxa"/>
          </w:tcPr>
          <w:p w14:paraId="3B5B8149" w14:textId="13944B1C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4.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Грантовий міжнародний дослідницький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проєкт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. Пошук конкурсу та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грантодавачів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. Перелік міжнародних грантових програм: наукова програма НАТО, CRDF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Global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, УНТЦ. Програми транскордонного співробітництва, Вишеградська грантова програма. Інші грантові програми.</w:t>
            </w:r>
          </w:p>
        </w:tc>
        <w:tc>
          <w:tcPr>
            <w:tcW w:w="1559" w:type="dxa"/>
            <w:gridSpan w:val="2"/>
          </w:tcPr>
          <w:p w14:paraId="407BAEA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11DA06CE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33CBFF81" w14:textId="7443B85E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3415C411" w14:textId="1ACB32FB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420F8F9A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6A04CF19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5589EF3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27AAD17F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5F33B7A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E1A26B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1F022DE8" w14:textId="77777777" w:rsidTr="004217D3">
        <w:tc>
          <w:tcPr>
            <w:tcW w:w="1725" w:type="dxa"/>
          </w:tcPr>
          <w:p w14:paraId="7A3C276B" w14:textId="10F73B91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5.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Рамкові програми з досліджень та інновацій ЄС. Загальна інформація: основні принципи організації наукових досліджень від ЄС. Портал учасників. Профіль організації та дослідника. Пошук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релеватного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конкурсу та партнерів.</w:t>
            </w:r>
          </w:p>
        </w:tc>
        <w:tc>
          <w:tcPr>
            <w:tcW w:w="1559" w:type="dxa"/>
            <w:gridSpan w:val="2"/>
          </w:tcPr>
          <w:p w14:paraId="70C13B0A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Лекція,</w:t>
            </w:r>
          </w:p>
          <w:p w14:paraId="09FC3BA7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49B9EEB3" w14:textId="2C8923FA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7D071AB2" w14:textId="2257D60D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14981E6B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2AD3BD2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180D13B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48B9CE9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1B3817EE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51FAD67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686C0590" w14:textId="77777777" w:rsidTr="004217D3">
        <w:tc>
          <w:tcPr>
            <w:tcW w:w="1725" w:type="dxa"/>
          </w:tcPr>
          <w:p w14:paraId="31A7EA3C" w14:textId="7C50201A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 6.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Бази даних наукової інформації. Розрахунок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наукометричних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індексів. Профілі науковців. Міжнародні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наукометричні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бази та наукові спільноти: основні завдання, створення власного профілю. Міжнародні наукові комунікації.</w:t>
            </w:r>
          </w:p>
        </w:tc>
        <w:tc>
          <w:tcPr>
            <w:tcW w:w="1559" w:type="dxa"/>
            <w:gridSpan w:val="2"/>
          </w:tcPr>
          <w:p w14:paraId="11D1C82E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4386A178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72CC6454" w14:textId="1EED5356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2631D48B" w14:textId="5EF58F05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B01035">
              <w:rPr>
                <w:rFonts w:eastAsiaTheme="minorHAnsi"/>
                <w:sz w:val="22"/>
                <w:szCs w:val="22"/>
                <w:lang w:val="uk-UA" w:eastAsia="en-US"/>
              </w:rPr>
              <w:t>2,</w:t>
            </w:r>
            <w:r w:rsidR="00B2712D">
              <w:rPr>
                <w:rFonts w:eastAsiaTheme="minorHAnsi"/>
                <w:sz w:val="22"/>
                <w:szCs w:val="22"/>
                <w:lang w:val="uk-UA" w:eastAsia="en-US"/>
              </w:rPr>
              <w:t>7</w:t>
            </w:r>
            <w:r w:rsidR="0088662A">
              <w:rPr>
                <w:rFonts w:eastAsiaTheme="minorHAnsi"/>
                <w:sz w:val="22"/>
                <w:szCs w:val="22"/>
                <w:lang w:val="en-US" w:eastAsia="en-US"/>
              </w:rPr>
              <w:t>-12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0B38CDF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63301F9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48383F11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30D841E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7364DC68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7F688966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5AA1D5E3" w14:textId="77777777" w:rsidTr="004217D3">
        <w:tc>
          <w:tcPr>
            <w:tcW w:w="1725" w:type="dxa"/>
          </w:tcPr>
          <w:p w14:paraId="131E5ABA" w14:textId="29A8E209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7.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Наукова публікація: поняття, функції, основні види. Поняття та функції наукових публікацій. Основні види наукових публікацій. Структура наукових публікацій.</w:t>
            </w:r>
          </w:p>
        </w:tc>
        <w:tc>
          <w:tcPr>
            <w:tcW w:w="1559" w:type="dxa"/>
            <w:gridSpan w:val="2"/>
          </w:tcPr>
          <w:p w14:paraId="0E8B5D4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Лекція,</w:t>
            </w:r>
          </w:p>
          <w:p w14:paraId="2B242FB7" w14:textId="77777777" w:rsidR="00976DD6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семінарське</w:t>
            </w:r>
          </w:p>
          <w:p w14:paraId="13852543" w14:textId="26475234" w:rsidR="004217D3" w:rsidRPr="00053FD9" w:rsidRDefault="00976DD6" w:rsidP="00976D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</w:t>
            </w:r>
          </w:p>
        </w:tc>
        <w:tc>
          <w:tcPr>
            <w:tcW w:w="1572" w:type="dxa"/>
            <w:gridSpan w:val="2"/>
          </w:tcPr>
          <w:p w14:paraId="75F339FA" w14:textId="4908E0B4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[2, 3,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4, </w:t>
            </w:r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, </w:t>
            </w:r>
            <w:r w:rsidR="0088662A">
              <w:rPr>
                <w:rFonts w:eastAsiaTheme="minorHAnsi"/>
                <w:sz w:val="22"/>
                <w:szCs w:val="22"/>
                <w:lang w:val="en-US" w:eastAsia="en-US"/>
              </w:rPr>
              <w:t>12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0F042655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Опрацювати лекційний матеріал, підготуватися до практичного заняття</w:t>
            </w:r>
          </w:p>
        </w:tc>
        <w:tc>
          <w:tcPr>
            <w:tcW w:w="1533" w:type="dxa"/>
            <w:gridSpan w:val="2"/>
          </w:tcPr>
          <w:p w14:paraId="2D3F3DC2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593" w:type="dxa"/>
          </w:tcPr>
          <w:p w14:paraId="6E30FBC3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14:paraId="68376232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14:paraId="2FBF09D5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14:paraId="4EE8F8E9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4217D3" w:rsidRPr="00C67355" w14:paraId="474F12C7" w14:textId="77777777" w:rsidTr="004217D3">
        <w:tc>
          <w:tcPr>
            <w:tcW w:w="1725" w:type="dxa"/>
          </w:tcPr>
          <w:p w14:paraId="0D975E1A" w14:textId="1AFD132A" w:rsidR="004217D3" w:rsidRPr="00EC0806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 8.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Комерціалізація результатів наукової діяльності. Об’єкти права інтелектуальної власності та їх зв’язок із науковими дослідженнями. Система захисту прав інтелектуальної власності в Україні та світі. Патентування, як один із етапів комерціалізації наукових досліджень. Управління циклом комерціалізації розробок.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Фандрайзинг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, </w:t>
            </w:r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акселератори, інкубатори бізнесу, бізнес-ангели, </w:t>
            </w:r>
            <w:proofErr w:type="spellStart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>стартапи</w:t>
            </w:r>
            <w:proofErr w:type="spellEnd"/>
            <w:r w:rsidR="00EC0806" w:rsidRPr="00EC0806"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ін., як методи менеджменту у системі комерціалізації розробок.</w:t>
            </w:r>
          </w:p>
        </w:tc>
        <w:tc>
          <w:tcPr>
            <w:tcW w:w="1559" w:type="dxa"/>
            <w:gridSpan w:val="2"/>
          </w:tcPr>
          <w:p w14:paraId="0301CFD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Лекція</w:t>
            </w:r>
          </w:p>
        </w:tc>
        <w:tc>
          <w:tcPr>
            <w:tcW w:w="1572" w:type="dxa"/>
            <w:gridSpan w:val="2"/>
          </w:tcPr>
          <w:p w14:paraId="778FD82D" w14:textId="0CCE17B6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[</w:t>
            </w:r>
            <w:r w:rsidR="0088662A">
              <w:rPr>
                <w:rFonts w:eastAsiaTheme="minorHAnsi"/>
                <w:sz w:val="22"/>
                <w:szCs w:val="22"/>
                <w:lang w:val="en-US" w:eastAsia="en-US"/>
              </w:rPr>
              <w:t>12</w:t>
            </w:r>
            <w:r w:rsidR="00F83BC8">
              <w:rPr>
                <w:rFonts w:eastAsiaTheme="minorHAnsi"/>
                <w:sz w:val="22"/>
                <w:szCs w:val="22"/>
                <w:lang w:val="en-US" w:eastAsia="en-US"/>
              </w:rPr>
              <w:t>x`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1589" w:type="dxa"/>
            <w:gridSpan w:val="2"/>
          </w:tcPr>
          <w:p w14:paraId="64652B76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33" w:type="dxa"/>
            <w:gridSpan w:val="2"/>
          </w:tcPr>
          <w:p w14:paraId="18413B0A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93" w:type="dxa"/>
          </w:tcPr>
          <w:p w14:paraId="1982BB1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4217D3" w:rsidRPr="00C67355" w14:paraId="228D42CA" w14:textId="77777777" w:rsidTr="004217D3">
        <w:tc>
          <w:tcPr>
            <w:tcW w:w="1725" w:type="dxa"/>
          </w:tcPr>
          <w:p w14:paraId="3F903E73" w14:textId="77777777" w:rsidR="004217D3" w:rsidRPr="00053FD9" w:rsidRDefault="004217D3" w:rsidP="004217D3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Підсумкове</w:t>
            </w:r>
            <w:proofErr w:type="spellEnd"/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53FD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559" w:type="dxa"/>
            <w:gridSpan w:val="2"/>
          </w:tcPr>
          <w:p w14:paraId="1BB899AC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572" w:type="dxa"/>
            <w:gridSpan w:val="2"/>
          </w:tcPr>
          <w:p w14:paraId="13EC1170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89" w:type="dxa"/>
            <w:gridSpan w:val="2"/>
          </w:tcPr>
          <w:p w14:paraId="6265A0C5" w14:textId="77777777" w:rsidR="004217D3" w:rsidRPr="00053FD9" w:rsidRDefault="004217D3" w:rsidP="004217D3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533" w:type="dxa"/>
            <w:gridSpan w:val="2"/>
          </w:tcPr>
          <w:p w14:paraId="6FD59069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30</w:t>
            </w:r>
          </w:p>
        </w:tc>
        <w:tc>
          <w:tcPr>
            <w:tcW w:w="1593" w:type="dxa"/>
          </w:tcPr>
          <w:p w14:paraId="6F120D18" w14:textId="77777777" w:rsidR="004217D3" w:rsidRPr="00053FD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4217D3" w:rsidRPr="00C67355" w14:paraId="03CC6D22" w14:textId="77777777" w:rsidTr="005321FE">
        <w:tc>
          <w:tcPr>
            <w:tcW w:w="9571" w:type="dxa"/>
            <w:gridSpan w:val="10"/>
          </w:tcPr>
          <w:p w14:paraId="2047F69B" w14:textId="77777777" w:rsidR="004217D3" w:rsidRPr="00151BC4" w:rsidRDefault="004217D3" w:rsidP="00421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4217D3" w:rsidRPr="00C67355" w14:paraId="6E324B60" w14:textId="77777777" w:rsidTr="004217D3">
        <w:tc>
          <w:tcPr>
            <w:tcW w:w="3284" w:type="dxa"/>
            <w:gridSpan w:val="3"/>
          </w:tcPr>
          <w:p w14:paraId="54835624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87" w:type="dxa"/>
            <w:gridSpan w:val="7"/>
          </w:tcPr>
          <w:p w14:paraId="4031AC1D" w14:textId="4E8CDCDB" w:rsidR="005C2DF9" w:rsidRPr="005C2DF9" w:rsidRDefault="004217D3" w:rsidP="004217D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100 бальна</w:t>
            </w:r>
            <w:r w:rsidRPr="00976DD6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14:paraId="22B228C2" w14:textId="10E917EE" w:rsidR="004217D3" w:rsidRDefault="005C2DF9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6</w:t>
            </w:r>
            <w:r w:rsidR="00581E26">
              <w:rPr>
                <w:rFonts w:eastAsiaTheme="minorHAnsi"/>
                <w:b/>
                <w:sz w:val="22"/>
                <w:szCs w:val="22"/>
                <w:lang w:val="uk-UA" w:eastAsia="en-US"/>
              </w:rPr>
              <w:t>0</w:t>
            </w:r>
            <w:r w:rsidR="004217D3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4217D3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підсумовуються за виконані </w:t>
            </w:r>
            <w:r w:rsidR="008D5B2A"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практичні </w:t>
            </w:r>
            <w:r w:rsidR="004217D3">
              <w:rPr>
                <w:rFonts w:eastAsiaTheme="minorHAnsi"/>
                <w:sz w:val="22"/>
                <w:szCs w:val="22"/>
                <w:lang w:val="uk-UA" w:eastAsia="en-US"/>
              </w:rPr>
              <w:t>завдання:</w:t>
            </w:r>
          </w:p>
          <w:p w14:paraId="0F81611E" w14:textId="73CB1BF7" w:rsidR="00581E26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Завдання: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 «Аргументація у науковому дослідженні» - 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71778879" w14:textId="68D87219" w:rsidR="00581E26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Завдання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: «</w:t>
            </w:r>
            <w:r w:rsidR="00581E26" w:rsidRPr="00E6543E">
              <w:rPr>
                <w:rFonts w:eastAsiaTheme="minorHAnsi"/>
                <w:sz w:val="22"/>
                <w:szCs w:val="22"/>
                <w:lang w:val="uk-UA" w:eastAsia="en-US"/>
              </w:rPr>
              <w:t>Стан досліджень і розробок за тематикою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» - 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>1</w:t>
            </w:r>
            <w:r w:rsidR="00581E26">
              <w:rPr>
                <w:rFonts w:eastAsiaTheme="minorHAnsi"/>
                <w:b/>
                <w:sz w:val="22"/>
                <w:szCs w:val="22"/>
                <w:lang w:val="uk-UA" w:eastAsia="en-US"/>
              </w:rPr>
              <w:t>0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11BB7C3A" w14:textId="66F56918" w:rsidR="00581E26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«Формулювання мети, об</w:t>
            </w:r>
            <w:r w:rsidR="00581E26" w:rsidRPr="00F27633">
              <w:rPr>
                <w:rFonts w:eastAsiaTheme="minorHAnsi"/>
                <w:sz w:val="22"/>
                <w:szCs w:val="22"/>
                <w:lang w:val="uk-UA" w:eastAsia="en-US"/>
              </w:rPr>
              <w:t>’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єкту і суб</w:t>
            </w:r>
            <w:r w:rsidR="00581E26" w:rsidRPr="00F27633">
              <w:rPr>
                <w:rFonts w:eastAsiaTheme="minorHAnsi"/>
                <w:sz w:val="22"/>
                <w:szCs w:val="22"/>
                <w:lang w:val="uk-UA" w:eastAsia="en-US"/>
              </w:rPr>
              <w:t>’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єкту дослідження» - 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</w:p>
          <w:p w14:paraId="609970B2" w14:textId="6749B9C7" w:rsidR="00581E26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«Визначення та формулювання підходів,</w:t>
            </w:r>
            <w:r w:rsidR="00581E26" w:rsidRPr="00E6543E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метод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ів</w:t>
            </w:r>
            <w:r w:rsidR="00581E26" w:rsidRPr="00E6543E">
              <w:rPr>
                <w:rFonts w:eastAsiaTheme="minorHAnsi"/>
                <w:sz w:val="22"/>
                <w:szCs w:val="22"/>
                <w:lang w:val="uk-UA" w:eastAsia="en-US"/>
              </w:rPr>
              <w:t>, засоб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ів</w:t>
            </w:r>
            <w:r w:rsidR="00581E26" w:rsidRPr="00E6543E"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особливост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ей</w:t>
            </w:r>
            <w:r w:rsidR="00581E26" w:rsidRPr="00E6543E">
              <w:rPr>
                <w:rFonts w:eastAsiaTheme="minorHAnsi"/>
                <w:sz w:val="22"/>
                <w:szCs w:val="22"/>
                <w:lang w:val="uk-UA" w:eastAsia="en-US"/>
              </w:rPr>
              <w:t xml:space="preserve"> досліджень і розробок за </w:t>
            </w:r>
            <w:proofErr w:type="spellStart"/>
            <w:r w:rsidR="00581E26" w:rsidRPr="00E6543E">
              <w:rPr>
                <w:rFonts w:eastAsiaTheme="minorHAnsi"/>
                <w:sz w:val="22"/>
                <w:szCs w:val="22"/>
                <w:lang w:val="uk-UA" w:eastAsia="en-US"/>
              </w:rPr>
              <w:t>проєктом</w:t>
            </w:r>
            <w:proofErr w:type="spellEnd"/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» - </w:t>
            </w:r>
            <w:r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5</w:t>
            </w:r>
            <w:r w:rsidR="00581E26" w:rsidRPr="00E6543E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79853C45" w14:textId="61688F48" w:rsidR="00581E26" w:rsidRPr="0054145F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«Команда наукового проекту» - 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07661A95" w14:textId="569D38A8" w:rsidR="00581E26" w:rsidRPr="0054145F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«Формулювання результатів </w:t>
            </w:r>
            <w:proofErr w:type="spellStart"/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проєкту</w:t>
            </w:r>
            <w:proofErr w:type="spellEnd"/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, наукової новизни» - </w:t>
            </w:r>
            <w:r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5</w:t>
            </w:r>
            <w:r w:rsidR="00581E26" w:rsidRPr="00E6543E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73166ED0" w14:textId="79101528" w:rsidR="00581E26" w:rsidRPr="0054145F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«Опис цінностей </w:t>
            </w:r>
            <w:proofErr w:type="spellStart"/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проєкту</w:t>
            </w:r>
            <w:proofErr w:type="spellEnd"/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 для економіки та суспільства. Впровадження результатів дослідження» - 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3EA6139B" w14:textId="044D8F6B" w:rsidR="00581E26" w:rsidRPr="0054145F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«Бюджет наукового проекту» - 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10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044AE679" w14:textId="492F4339" w:rsidR="00581E26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«Узагальнення тексту наукового </w:t>
            </w:r>
            <w:proofErr w:type="spellStart"/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проєкту</w:t>
            </w:r>
            <w:proofErr w:type="spellEnd"/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» - 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5</w:t>
            </w:r>
            <w:r w:rsidR="00581E26" w:rsidRPr="0054145F">
              <w:rPr>
                <w:rFonts w:eastAsiaTheme="minorHAnsi"/>
                <w:b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4878562C" w14:textId="75C201FF" w:rsidR="00581E26" w:rsidRDefault="00F27633" w:rsidP="00581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«Національні та міжнародні фундації, що фінансують наукові дослідження» – </w:t>
            </w:r>
            <w:r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5</w:t>
            </w:r>
            <w:r w:rsidR="00581E26" w:rsidRPr="00E6543E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 балів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14:paraId="15C7184F" w14:textId="1883077E" w:rsidR="00F27633" w:rsidRDefault="00F27633" w:rsidP="00F27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27633">
              <w:rPr>
                <w:rFonts w:eastAsiaTheme="minorHAnsi"/>
                <w:sz w:val="22"/>
                <w:szCs w:val="22"/>
                <w:lang w:val="uk-UA" w:eastAsia="en-US"/>
              </w:rPr>
              <w:t>На 40 балів – оцінюється виконання тестів у системі дистанційного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F27633">
              <w:rPr>
                <w:rFonts w:eastAsiaTheme="minorHAnsi"/>
                <w:sz w:val="22"/>
                <w:szCs w:val="22"/>
                <w:lang w:val="uk-UA" w:eastAsia="en-US"/>
              </w:rPr>
              <w:t>навчання.</w:t>
            </w:r>
          </w:p>
          <w:p w14:paraId="04541D62" w14:textId="5D5B61E3" w:rsidR="004217D3" w:rsidRPr="00581E26" w:rsidRDefault="00581E26" w:rsidP="00F27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Деякі теми можуть поєднуватися (замінятися) із тестами у системі дистанційного навчання. Кількість балів за тести еквівалентна кількості балів за практичну роботу.</w:t>
            </w:r>
          </w:p>
          <w:p w14:paraId="29F7E303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Зараховано-“відмінно”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демонструє повні і</w:t>
            </w:r>
            <w:r w:rsidRP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 вільно володіє науковими термінами;</w:t>
            </w:r>
          </w:p>
          <w:p w14:paraId="25CCBC96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Зараховано-“добре”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демонструє повні знання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навчального матеріалу, але допускає незначні пропуски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фактичного матеріалу, вміє застосувати його до розв’язання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конкретних прикладів та задач, у деяких випадках нечітко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формулює загалом правильні відповіді, допускає окремі несуттєві помилки та неточності розв’язках;</w:t>
            </w:r>
          </w:p>
          <w:p w14:paraId="3A6B9FCF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Зараховано-“задовільно”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володіє більшою</w:t>
            </w:r>
            <w:r w:rsidRPr="00976DD6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частиною фактичного матеріалу, але викладає його не досить послідовно і </w:t>
            </w:r>
            <w:proofErr w:type="spellStart"/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, допускає істотні пропуски у відповіді, не завжди вміє правильно застосувати набуті знання до розв’язання конкретних прикладів та задач,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нечітко, а інколи й невірно формулює основні твердження та причинно-наслідкові зв’язки;</w:t>
            </w:r>
          </w:p>
          <w:p w14:paraId="4DDE8F75" w14:textId="77777777" w:rsidR="004217D3" w:rsidRPr="00C67355" w:rsidRDefault="004217D3" w:rsidP="004217D3">
            <w:pPr>
              <w:jc w:val="both"/>
              <w:rPr>
                <w:lang w:val="uk-UA"/>
              </w:rPr>
            </w:pPr>
            <w:proofErr w:type="spellStart"/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>Незараховано</w:t>
            </w:r>
            <w:proofErr w:type="spellEnd"/>
            <w:r w:rsidRPr="00053FD9"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– студент не володіє достатнім рівнем</w:t>
            </w:r>
            <w:r w:rsidRPr="00976DD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необхідних знань, умінь, навичок, науковими термінами</w:t>
            </w:r>
          </w:p>
        </w:tc>
      </w:tr>
      <w:tr w:rsidR="004217D3" w:rsidRPr="00C67355" w14:paraId="10BADB3A" w14:textId="77777777" w:rsidTr="004217D3">
        <w:tc>
          <w:tcPr>
            <w:tcW w:w="3284" w:type="dxa"/>
            <w:gridSpan w:val="3"/>
          </w:tcPr>
          <w:p w14:paraId="1A8293D8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87" w:type="dxa"/>
            <w:gridSpan w:val="7"/>
          </w:tcPr>
          <w:p w14:paraId="1E6E8396" w14:textId="1AFAC5F0" w:rsidR="004217D3" w:rsidRPr="00C67355" w:rsidRDefault="004217D3" w:rsidP="004217D3">
            <w:pPr>
              <w:jc w:val="both"/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кожне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практичне заняття </w:t>
            </w:r>
            <w:r w:rsidR="00581E26">
              <w:rPr>
                <w:rFonts w:eastAsiaTheme="minorHAnsi"/>
                <w:sz w:val="22"/>
                <w:szCs w:val="22"/>
                <w:lang w:val="uk-UA" w:eastAsia="en-US"/>
              </w:rPr>
              <w:t xml:space="preserve">підсумовується і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враховується при виставлення підсумкової оцінки з дисципліни</w:t>
            </w:r>
          </w:p>
        </w:tc>
      </w:tr>
      <w:tr w:rsidR="004217D3" w:rsidRPr="00C67355" w14:paraId="5FA5E0D0" w14:textId="77777777" w:rsidTr="004217D3">
        <w:tc>
          <w:tcPr>
            <w:tcW w:w="3284" w:type="dxa"/>
            <w:gridSpan w:val="3"/>
          </w:tcPr>
          <w:p w14:paraId="6B78E95A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87" w:type="dxa"/>
            <w:gridSpan w:val="7"/>
          </w:tcPr>
          <w:p w14:paraId="189D251F" w14:textId="77777777" w:rsidR="004217D3" w:rsidRPr="00C67355" w:rsidRDefault="004217D3" w:rsidP="004217D3">
            <w:pPr>
              <w:jc w:val="both"/>
              <w:rPr>
                <w:lang w:val="uk-UA"/>
              </w:rPr>
            </w:pPr>
          </w:p>
        </w:tc>
      </w:tr>
      <w:tr w:rsidR="004217D3" w:rsidRPr="00C67355" w14:paraId="549D52D1" w14:textId="77777777" w:rsidTr="004217D3">
        <w:tc>
          <w:tcPr>
            <w:tcW w:w="3284" w:type="dxa"/>
            <w:gridSpan w:val="3"/>
          </w:tcPr>
          <w:p w14:paraId="79AE817F" w14:textId="77777777" w:rsidR="004217D3" w:rsidRPr="00151BC4" w:rsidRDefault="004217D3" w:rsidP="004217D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87" w:type="dxa"/>
            <w:gridSpan w:val="7"/>
          </w:tcPr>
          <w:p w14:paraId="36AAE198" w14:textId="77777777" w:rsidR="004217D3" w:rsidRPr="00C67355" w:rsidRDefault="004217D3" w:rsidP="004217D3">
            <w:pPr>
              <w:jc w:val="both"/>
              <w:rPr>
                <w:lang w:val="uk-UA"/>
              </w:rPr>
            </w:pPr>
          </w:p>
        </w:tc>
      </w:tr>
      <w:tr w:rsidR="004217D3" w:rsidRPr="00C67355" w14:paraId="4EC36E0D" w14:textId="77777777" w:rsidTr="005321FE">
        <w:tc>
          <w:tcPr>
            <w:tcW w:w="9571" w:type="dxa"/>
            <w:gridSpan w:val="10"/>
          </w:tcPr>
          <w:p w14:paraId="327F0A85" w14:textId="77777777" w:rsidR="004217D3" w:rsidRPr="00483A45" w:rsidRDefault="004217D3" w:rsidP="004217D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217D3" w:rsidRPr="00D50376" w14:paraId="2A27EE56" w14:textId="77777777" w:rsidTr="005321FE">
        <w:tc>
          <w:tcPr>
            <w:tcW w:w="9571" w:type="dxa"/>
            <w:gridSpan w:val="10"/>
          </w:tcPr>
          <w:p w14:paraId="3A61CB7B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      </w:r>
          </w:p>
          <w:p w14:paraId="54C7F098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- посилання на джерела інформації у разі використання ідей, розробок, тверджень, відомостей;</w:t>
            </w:r>
          </w:p>
          <w:p w14:paraId="1565D8EE" w14:textId="77777777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</w:t>
            </w:r>
          </w:p>
          <w:p w14:paraId="7F3FD08A" w14:textId="582D63BF" w:rsidR="004217D3" w:rsidRPr="00053FD9" w:rsidRDefault="004217D3" w:rsidP="004217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(</w:t>
            </w:r>
            <w:r w:rsidR="00EC0806">
              <w:rPr>
                <w:rFonts w:eastAsiaTheme="minorHAnsi"/>
                <w:sz w:val="22"/>
                <w:szCs w:val="22"/>
                <w:lang w:val="uk-UA" w:eastAsia="en-US"/>
              </w:rPr>
              <w:t>опрацювання робочого матеріалу,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F83BC8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виконання тестових завдань у системі дистанційного оцінювання знань, 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>тощо).</w:t>
            </w:r>
          </w:p>
          <w:p w14:paraId="4E30332C" w14:textId="5A3219A3" w:rsidR="004217D3" w:rsidRPr="00483A45" w:rsidRDefault="004217D3" w:rsidP="004217D3">
            <w:pPr>
              <w:jc w:val="both"/>
              <w:rPr>
                <w:lang w:val="uk-UA"/>
              </w:rPr>
            </w:pP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Поточні </w:t>
            </w:r>
            <w:r w:rsidR="000149E6">
              <w:rPr>
                <w:rFonts w:eastAsiaTheme="minorHAnsi"/>
                <w:sz w:val="22"/>
                <w:szCs w:val="22"/>
                <w:lang w:val="uk-UA" w:eastAsia="en-US"/>
              </w:rPr>
              <w:t>негативні бали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, отримані </w:t>
            </w:r>
            <w:r w:rsidR="000149E6">
              <w:rPr>
                <w:rFonts w:eastAsiaTheme="minorHAnsi"/>
                <w:sz w:val="22"/>
                <w:szCs w:val="22"/>
                <w:lang w:val="uk-UA" w:eastAsia="en-US"/>
              </w:rPr>
              <w:t>аспірантом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під час засвоєння відповідної теми на </w:t>
            </w:r>
            <w:r w:rsidR="007F4BE7">
              <w:rPr>
                <w:rFonts w:eastAsiaTheme="minorHAnsi"/>
                <w:sz w:val="22"/>
                <w:szCs w:val="22"/>
                <w:lang w:val="uk-UA" w:eastAsia="en-US"/>
              </w:rPr>
              <w:t>практичному</w:t>
            </w:r>
            <w:r w:rsidRPr="00053FD9">
              <w:rPr>
                <w:rFonts w:eastAsiaTheme="minorHAnsi"/>
                <w:sz w:val="22"/>
                <w:szCs w:val="22"/>
                <w:lang w:val="uk-UA" w:eastAsia="en-US"/>
              </w:rPr>
              <w:t xml:space="preserve"> занятті перескладаються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4217D3" w:rsidRPr="00C67355" w14:paraId="67D5C8D9" w14:textId="77777777" w:rsidTr="005321FE">
        <w:tc>
          <w:tcPr>
            <w:tcW w:w="9571" w:type="dxa"/>
            <w:gridSpan w:val="10"/>
          </w:tcPr>
          <w:p w14:paraId="58EF1A6E" w14:textId="77777777" w:rsidR="004217D3" w:rsidRPr="00151BC4" w:rsidRDefault="004217D3" w:rsidP="00421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217D3" w:rsidRPr="00F83BC8" w14:paraId="186F9734" w14:textId="77777777" w:rsidTr="005321FE">
        <w:tc>
          <w:tcPr>
            <w:tcW w:w="9571" w:type="dxa"/>
            <w:gridSpan w:val="10"/>
          </w:tcPr>
          <w:p w14:paraId="0F871356" w14:textId="7FC31DEB" w:rsidR="00E0619D" w:rsidRPr="00F83BC8" w:rsidRDefault="00E0619D" w:rsidP="00E0619D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F83BC8">
              <w:rPr>
                <w:sz w:val="22"/>
                <w:szCs w:val="22"/>
              </w:rPr>
              <w:t>Конверський</w:t>
            </w:r>
            <w:proofErr w:type="spellEnd"/>
            <w:r w:rsidRPr="00F83BC8">
              <w:rPr>
                <w:sz w:val="22"/>
                <w:szCs w:val="22"/>
              </w:rPr>
              <w:t xml:space="preserve"> А.Є. </w:t>
            </w:r>
            <w:proofErr w:type="spellStart"/>
            <w:r w:rsidRPr="00F83BC8">
              <w:rPr>
                <w:sz w:val="22"/>
                <w:szCs w:val="22"/>
              </w:rPr>
              <w:t>Основи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методології</w:t>
            </w:r>
            <w:proofErr w:type="spellEnd"/>
            <w:r w:rsidRPr="00F83BC8">
              <w:rPr>
                <w:sz w:val="22"/>
                <w:szCs w:val="22"/>
              </w:rPr>
              <w:t xml:space="preserve"> та </w:t>
            </w:r>
            <w:proofErr w:type="spellStart"/>
            <w:r w:rsidRPr="00F83BC8">
              <w:rPr>
                <w:sz w:val="22"/>
                <w:szCs w:val="22"/>
              </w:rPr>
              <w:t>організації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наукових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досліджень</w:t>
            </w:r>
            <w:proofErr w:type="spellEnd"/>
            <w:r w:rsidRPr="00F83BC8">
              <w:rPr>
                <w:sz w:val="22"/>
                <w:szCs w:val="22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Навчальний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посібник</w:t>
            </w:r>
            <w:proofErr w:type="spellEnd"/>
            <w:r w:rsidRPr="00F83BC8">
              <w:rPr>
                <w:sz w:val="22"/>
                <w:szCs w:val="22"/>
              </w:rPr>
              <w:t xml:space="preserve">. К.: Центр </w:t>
            </w:r>
            <w:proofErr w:type="spellStart"/>
            <w:r w:rsidRPr="00F83BC8">
              <w:rPr>
                <w:sz w:val="22"/>
                <w:szCs w:val="22"/>
              </w:rPr>
              <w:t>учбової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літератури</w:t>
            </w:r>
            <w:proofErr w:type="spellEnd"/>
            <w:r w:rsidRPr="00F83BC8">
              <w:rPr>
                <w:sz w:val="22"/>
                <w:szCs w:val="22"/>
              </w:rPr>
              <w:t>, 2010. 352 с.</w:t>
            </w:r>
          </w:p>
          <w:p w14:paraId="7B5FCD3C" w14:textId="7C56F812" w:rsidR="00B01035" w:rsidRPr="00F83BC8" w:rsidRDefault="00B01035" w:rsidP="00E0619D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F83BC8">
              <w:rPr>
                <w:sz w:val="22"/>
                <w:szCs w:val="22"/>
              </w:rPr>
              <w:t>Методологія</w:t>
            </w:r>
            <w:proofErr w:type="spellEnd"/>
            <w:r w:rsidRPr="00F83BC8">
              <w:rPr>
                <w:sz w:val="22"/>
                <w:szCs w:val="22"/>
              </w:rPr>
              <w:t xml:space="preserve"> та </w:t>
            </w:r>
            <w:proofErr w:type="spellStart"/>
            <w:r w:rsidRPr="00F83BC8">
              <w:rPr>
                <w:sz w:val="22"/>
                <w:szCs w:val="22"/>
              </w:rPr>
              <w:t>організація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наукових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3BC8">
              <w:rPr>
                <w:sz w:val="22"/>
                <w:szCs w:val="22"/>
              </w:rPr>
              <w:t>досліджень</w:t>
            </w:r>
            <w:proofErr w:type="spellEnd"/>
            <w:r w:rsidRPr="00F83BC8">
              <w:rPr>
                <w:sz w:val="22"/>
                <w:szCs w:val="22"/>
              </w:rPr>
              <w:t xml:space="preserve"> :</w:t>
            </w:r>
            <w:proofErr w:type="gram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навч</w:t>
            </w:r>
            <w:proofErr w:type="spellEnd"/>
            <w:r w:rsidRPr="00F83BC8">
              <w:rPr>
                <w:sz w:val="22"/>
                <w:szCs w:val="22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посібник</w:t>
            </w:r>
            <w:proofErr w:type="spellEnd"/>
            <w:r w:rsidRPr="00F83BC8">
              <w:rPr>
                <w:sz w:val="22"/>
                <w:szCs w:val="22"/>
              </w:rPr>
              <w:t xml:space="preserve"> / О.І. </w:t>
            </w:r>
            <w:proofErr w:type="spellStart"/>
            <w:r w:rsidRPr="00F83BC8">
              <w:rPr>
                <w:sz w:val="22"/>
                <w:szCs w:val="22"/>
              </w:rPr>
              <w:t>Гуторов</w:t>
            </w:r>
            <w:proofErr w:type="spellEnd"/>
            <w:r w:rsidRPr="00F83BC8">
              <w:rPr>
                <w:sz w:val="22"/>
                <w:szCs w:val="22"/>
              </w:rPr>
              <w:t xml:space="preserve">; </w:t>
            </w:r>
            <w:proofErr w:type="spellStart"/>
            <w:r w:rsidRPr="00F83BC8">
              <w:rPr>
                <w:sz w:val="22"/>
                <w:szCs w:val="22"/>
              </w:rPr>
              <w:t>Харк</w:t>
            </w:r>
            <w:proofErr w:type="spellEnd"/>
            <w:r w:rsidRPr="00F83BC8">
              <w:rPr>
                <w:sz w:val="22"/>
                <w:szCs w:val="22"/>
              </w:rPr>
              <w:t xml:space="preserve">. нац. </w:t>
            </w:r>
            <w:proofErr w:type="spellStart"/>
            <w:r w:rsidRPr="00F83BC8">
              <w:rPr>
                <w:sz w:val="22"/>
                <w:szCs w:val="22"/>
              </w:rPr>
              <w:t>аграр</w:t>
            </w:r>
            <w:proofErr w:type="spellEnd"/>
            <w:r w:rsidRPr="00F83BC8">
              <w:rPr>
                <w:sz w:val="22"/>
                <w:szCs w:val="22"/>
              </w:rPr>
              <w:t xml:space="preserve">. ун-т </w:t>
            </w:r>
            <w:proofErr w:type="spellStart"/>
            <w:r w:rsidRPr="00F83BC8">
              <w:rPr>
                <w:sz w:val="22"/>
                <w:szCs w:val="22"/>
              </w:rPr>
              <w:t>ім</w:t>
            </w:r>
            <w:proofErr w:type="spellEnd"/>
            <w:r w:rsidRPr="00F83BC8">
              <w:rPr>
                <w:sz w:val="22"/>
                <w:szCs w:val="22"/>
              </w:rPr>
              <w:t xml:space="preserve">. В.В. </w:t>
            </w:r>
            <w:proofErr w:type="spellStart"/>
            <w:r w:rsidRPr="00F83BC8">
              <w:rPr>
                <w:sz w:val="22"/>
                <w:szCs w:val="22"/>
              </w:rPr>
              <w:t>Докучаєва</w:t>
            </w:r>
            <w:proofErr w:type="spellEnd"/>
            <w:r w:rsidRPr="00F83BC8">
              <w:rPr>
                <w:sz w:val="22"/>
                <w:szCs w:val="22"/>
              </w:rPr>
              <w:t xml:space="preserve"> – Х.: ХНАУ, 2017. – 272 с.</w:t>
            </w:r>
          </w:p>
          <w:p w14:paraId="4BFD904D" w14:textId="79C17C10" w:rsidR="00E0619D" w:rsidRPr="00F83BC8" w:rsidRDefault="00F83BC8" w:rsidP="00E0619D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70E79">
              <w:rPr>
                <w:sz w:val="22"/>
                <w:szCs w:val="22"/>
                <w:lang w:val="en-US"/>
              </w:rPr>
              <w:t xml:space="preserve">A guide to the project management body of knowledge (PMBOK® Guide). </w:t>
            </w:r>
            <w:r w:rsidRPr="00F83BC8">
              <w:rPr>
                <w:sz w:val="22"/>
                <w:szCs w:val="22"/>
              </w:rPr>
              <w:t xml:space="preserve">6th </w:t>
            </w:r>
            <w:proofErr w:type="spellStart"/>
            <w:r w:rsidRPr="00F83BC8">
              <w:rPr>
                <w:sz w:val="22"/>
                <w:szCs w:val="22"/>
              </w:rPr>
              <w:t>Edition</w:t>
            </w:r>
            <w:proofErr w:type="spellEnd"/>
            <w:r w:rsidRPr="00F83BC8">
              <w:rPr>
                <w:sz w:val="22"/>
                <w:szCs w:val="22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Newtown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Square</w:t>
            </w:r>
            <w:proofErr w:type="spellEnd"/>
            <w:r w:rsidRPr="00F83BC8">
              <w:rPr>
                <w:sz w:val="22"/>
                <w:szCs w:val="22"/>
              </w:rPr>
              <w:t xml:space="preserve">, </w:t>
            </w:r>
            <w:proofErr w:type="gramStart"/>
            <w:r w:rsidRPr="00F83BC8">
              <w:rPr>
                <w:sz w:val="22"/>
                <w:szCs w:val="22"/>
              </w:rPr>
              <w:t>PA :</w:t>
            </w:r>
            <w:proofErr w:type="gram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Project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Management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Institute</w:t>
            </w:r>
            <w:proofErr w:type="spellEnd"/>
            <w:r w:rsidRPr="00F83BC8">
              <w:rPr>
                <w:sz w:val="22"/>
                <w:szCs w:val="22"/>
              </w:rPr>
              <w:t>, 2017. 756 p.</w:t>
            </w:r>
            <w:r w:rsidR="00E0619D" w:rsidRPr="00F83BC8">
              <w:rPr>
                <w:sz w:val="22"/>
                <w:szCs w:val="22"/>
              </w:rPr>
              <w:t>.</w:t>
            </w:r>
          </w:p>
          <w:p w14:paraId="5995AD71" w14:textId="2BD06DD0" w:rsidR="00E0619D" w:rsidRPr="00F83BC8" w:rsidRDefault="00F83BC8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83BC8">
              <w:rPr>
                <w:sz w:val="22"/>
                <w:szCs w:val="22"/>
              </w:rPr>
              <w:t xml:space="preserve">Гринченко М.А., </w:t>
            </w:r>
            <w:proofErr w:type="spellStart"/>
            <w:r w:rsidRPr="00F83BC8">
              <w:rPr>
                <w:sz w:val="22"/>
                <w:szCs w:val="22"/>
              </w:rPr>
              <w:t>Колісник</w:t>
            </w:r>
            <w:proofErr w:type="spellEnd"/>
            <w:r w:rsidRPr="00F83BC8">
              <w:rPr>
                <w:sz w:val="22"/>
                <w:szCs w:val="22"/>
              </w:rPr>
              <w:t xml:space="preserve"> М.Е. </w:t>
            </w:r>
            <w:proofErr w:type="spellStart"/>
            <w:r w:rsidRPr="00F83BC8">
              <w:rPr>
                <w:sz w:val="22"/>
                <w:szCs w:val="22"/>
              </w:rPr>
              <w:t>Управління</w:t>
            </w:r>
            <w:proofErr w:type="spellEnd"/>
            <w:r w:rsidRPr="00F83BC8">
              <w:rPr>
                <w:sz w:val="22"/>
                <w:szCs w:val="22"/>
              </w:rPr>
              <w:t xml:space="preserve"> проектом з </w:t>
            </w:r>
            <w:proofErr w:type="spellStart"/>
            <w:r w:rsidRPr="00F83BC8">
              <w:rPr>
                <w:sz w:val="22"/>
                <w:szCs w:val="22"/>
              </w:rPr>
              <w:t>використанням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Microsoft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3BC8">
              <w:rPr>
                <w:sz w:val="22"/>
                <w:szCs w:val="22"/>
              </w:rPr>
              <w:t>Project</w:t>
            </w:r>
            <w:proofErr w:type="spellEnd"/>
            <w:r w:rsidRPr="00F83BC8">
              <w:rPr>
                <w:sz w:val="22"/>
                <w:szCs w:val="22"/>
              </w:rPr>
              <w:t xml:space="preserve"> :</w:t>
            </w:r>
            <w:proofErr w:type="gram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навчально-методичний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посібник</w:t>
            </w:r>
            <w:proofErr w:type="spellEnd"/>
            <w:r w:rsidRPr="00F83BC8">
              <w:rPr>
                <w:sz w:val="22"/>
                <w:szCs w:val="22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Харків</w:t>
            </w:r>
            <w:proofErr w:type="spellEnd"/>
            <w:r w:rsidRPr="00F83BC8">
              <w:rPr>
                <w:sz w:val="22"/>
                <w:szCs w:val="22"/>
              </w:rPr>
              <w:t>: НТУ «ХПІ», 2012. 76 с.</w:t>
            </w:r>
            <w:r w:rsidR="00E0619D" w:rsidRPr="00F83BC8">
              <w:rPr>
                <w:sz w:val="22"/>
                <w:szCs w:val="22"/>
              </w:rPr>
              <w:t xml:space="preserve"> </w:t>
            </w:r>
          </w:p>
          <w:p w14:paraId="5E2BAF3A" w14:textId="77777777" w:rsidR="00E0619D" w:rsidRPr="00F83BC8" w:rsidRDefault="00E0619D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83BC8">
              <w:rPr>
                <w:sz w:val="22"/>
                <w:szCs w:val="22"/>
              </w:rPr>
              <w:t xml:space="preserve">Методика та </w:t>
            </w:r>
            <w:proofErr w:type="spellStart"/>
            <w:r w:rsidRPr="00F83BC8">
              <w:rPr>
                <w:sz w:val="22"/>
                <w:szCs w:val="22"/>
              </w:rPr>
              <w:t>організація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наукових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3BC8">
              <w:rPr>
                <w:sz w:val="22"/>
                <w:szCs w:val="22"/>
              </w:rPr>
              <w:t>досліджень</w:t>
            </w:r>
            <w:proofErr w:type="spellEnd"/>
            <w:r w:rsidRPr="00F83BC8">
              <w:rPr>
                <w:sz w:val="22"/>
                <w:szCs w:val="22"/>
              </w:rPr>
              <w:t xml:space="preserve"> :</w:t>
            </w:r>
            <w:proofErr w:type="gram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Навч</w:t>
            </w:r>
            <w:proofErr w:type="spellEnd"/>
            <w:r w:rsidRPr="00F83BC8">
              <w:rPr>
                <w:sz w:val="22"/>
                <w:szCs w:val="22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посіб</w:t>
            </w:r>
            <w:proofErr w:type="spellEnd"/>
            <w:r w:rsidRPr="00F83BC8">
              <w:rPr>
                <w:sz w:val="22"/>
                <w:szCs w:val="22"/>
              </w:rPr>
              <w:t xml:space="preserve">. / С. Е. </w:t>
            </w:r>
            <w:proofErr w:type="spellStart"/>
            <w:r w:rsidRPr="00F83BC8">
              <w:rPr>
                <w:sz w:val="22"/>
                <w:szCs w:val="22"/>
              </w:rPr>
              <w:t>Важинський</w:t>
            </w:r>
            <w:proofErr w:type="spellEnd"/>
            <w:r w:rsidRPr="00F83BC8">
              <w:rPr>
                <w:sz w:val="22"/>
                <w:szCs w:val="22"/>
              </w:rPr>
              <w:t xml:space="preserve">, Т І. Щербак. – </w:t>
            </w:r>
            <w:proofErr w:type="spellStart"/>
            <w:r w:rsidRPr="00F83BC8">
              <w:rPr>
                <w:sz w:val="22"/>
                <w:szCs w:val="22"/>
              </w:rPr>
              <w:t>Суми</w:t>
            </w:r>
            <w:proofErr w:type="spellEnd"/>
            <w:r w:rsidRPr="00F83BC8">
              <w:rPr>
                <w:sz w:val="22"/>
                <w:szCs w:val="22"/>
              </w:rPr>
              <w:t xml:space="preserve">: </w:t>
            </w:r>
            <w:proofErr w:type="spellStart"/>
            <w:r w:rsidRPr="00F83BC8">
              <w:rPr>
                <w:sz w:val="22"/>
                <w:szCs w:val="22"/>
              </w:rPr>
              <w:t>СумДПУ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імені</w:t>
            </w:r>
            <w:proofErr w:type="spellEnd"/>
            <w:r w:rsidRPr="00F83BC8">
              <w:rPr>
                <w:sz w:val="22"/>
                <w:szCs w:val="22"/>
              </w:rPr>
              <w:t xml:space="preserve"> А. С. </w:t>
            </w:r>
            <w:proofErr w:type="spellStart"/>
            <w:r w:rsidRPr="00F83BC8">
              <w:rPr>
                <w:sz w:val="22"/>
                <w:szCs w:val="22"/>
              </w:rPr>
              <w:t>Макаренка</w:t>
            </w:r>
            <w:proofErr w:type="spellEnd"/>
            <w:r w:rsidRPr="00F83BC8">
              <w:rPr>
                <w:sz w:val="22"/>
                <w:szCs w:val="22"/>
              </w:rPr>
              <w:t>, 2016. – 260 с.</w:t>
            </w:r>
          </w:p>
          <w:p w14:paraId="4CEE227B" w14:textId="21885152" w:rsidR="00E0619D" w:rsidRPr="00F83BC8" w:rsidRDefault="00E0619D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83BC8">
              <w:rPr>
                <w:sz w:val="22"/>
                <w:szCs w:val="22"/>
              </w:rPr>
              <w:t xml:space="preserve">Адаменко М. І. </w:t>
            </w:r>
            <w:proofErr w:type="spellStart"/>
            <w:r w:rsidRPr="00F83BC8">
              <w:rPr>
                <w:sz w:val="22"/>
                <w:szCs w:val="22"/>
              </w:rPr>
              <w:t>Основи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наукових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досліджень</w:t>
            </w:r>
            <w:proofErr w:type="spellEnd"/>
            <w:r w:rsidRPr="00F83BC8">
              <w:rPr>
                <w:sz w:val="22"/>
                <w:szCs w:val="22"/>
              </w:rPr>
              <w:t xml:space="preserve"> / М. І. Адаменко, М. В. </w:t>
            </w:r>
            <w:proofErr w:type="spellStart"/>
            <w:r w:rsidRPr="00F83BC8">
              <w:rPr>
                <w:sz w:val="22"/>
                <w:szCs w:val="22"/>
              </w:rPr>
              <w:t>Бейлін</w:t>
            </w:r>
            <w:proofErr w:type="spellEnd"/>
            <w:r w:rsidRPr="00F83BC8">
              <w:rPr>
                <w:sz w:val="22"/>
                <w:szCs w:val="22"/>
              </w:rPr>
              <w:t xml:space="preserve">. – </w:t>
            </w:r>
            <w:proofErr w:type="gramStart"/>
            <w:r w:rsidRPr="00F83BC8">
              <w:rPr>
                <w:sz w:val="22"/>
                <w:szCs w:val="22"/>
              </w:rPr>
              <w:t>Х. :</w:t>
            </w:r>
            <w:proofErr w:type="gramEnd"/>
            <w:r w:rsidRPr="00F83BC8">
              <w:rPr>
                <w:sz w:val="22"/>
                <w:szCs w:val="22"/>
              </w:rPr>
              <w:t xml:space="preserve"> ХНУ </w:t>
            </w:r>
            <w:proofErr w:type="spellStart"/>
            <w:r w:rsidRPr="00F83BC8">
              <w:rPr>
                <w:sz w:val="22"/>
                <w:szCs w:val="22"/>
              </w:rPr>
              <w:t>імені</w:t>
            </w:r>
            <w:proofErr w:type="spellEnd"/>
            <w:r w:rsidRPr="00F83BC8">
              <w:rPr>
                <w:sz w:val="22"/>
                <w:szCs w:val="22"/>
              </w:rPr>
              <w:t xml:space="preserve"> В. Н. </w:t>
            </w:r>
            <w:proofErr w:type="spellStart"/>
            <w:r w:rsidRPr="00F83BC8">
              <w:rPr>
                <w:sz w:val="22"/>
                <w:szCs w:val="22"/>
              </w:rPr>
              <w:t>Каразіна</w:t>
            </w:r>
            <w:proofErr w:type="spellEnd"/>
            <w:r w:rsidRPr="00F83BC8">
              <w:rPr>
                <w:sz w:val="22"/>
                <w:szCs w:val="22"/>
              </w:rPr>
              <w:t>, 2014. – 188 с.</w:t>
            </w:r>
          </w:p>
          <w:p w14:paraId="05A4750F" w14:textId="37740E43" w:rsidR="00581E26" w:rsidRPr="00F83BC8" w:rsidRDefault="00581E26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770E79">
              <w:rPr>
                <w:sz w:val="22"/>
                <w:szCs w:val="22"/>
                <w:lang w:val="en-US"/>
              </w:rPr>
              <w:t>Wisz</w:t>
            </w:r>
            <w:proofErr w:type="spellEnd"/>
            <w:r w:rsidRPr="00770E79">
              <w:rPr>
                <w:sz w:val="22"/>
                <w:szCs w:val="22"/>
                <w:lang w:val="en-US"/>
              </w:rPr>
              <w:t xml:space="preserve">, G., </w:t>
            </w:r>
            <w:proofErr w:type="spellStart"/>
            <w:r w:rsidRPr="00770E79">
              <w:rPr>
                <w:sz w:val="22"/>
                <w:szCs w:val="22"/>
                <w:lang w:val="en-US"/>
              </w:rPr>
              <w:t>Nykyruy</w:t>
            </w:r>
            <w:proofErr w:type="spellEnd"/>
            <w:r w:rsidRPr="00770E79">
              <w:rPr>
                <w:sz w:val="22"/>
                <w:szCs w:val="22"/>
                <w:lang w:val="en-US"/>
              </w:rPr>
              <w:t xml:space="preserve">, L., </w:t>
            </w:r>
            <w:proofErr w:type="spellStart"/>
            <w:r w:rsidRPr="00770E79">
              <w:rPr>
                <w:sz w:val="22"/>
                <w:szCs w:val="22"/>
                <w:lang w:val="en-US"/>
              </w:rPr>
              <w:t>Yakubiv</w:t>
            </w:r>
            <w:proofErr w:type="spellEnd"/>
            <w:r w:rsidRPr="00770E79">
              <w:rPr>
                <w:sz w:val="22"/>
                <w:szCs w:val="22"/>
                <w:lang w:val="en-US"/>
              </w:rPr>
              <w:t xml:space="preserve">, V., </w:t>
            </w:r>
            <w:proofErr w:type="spellStart"/>
            <w:r w:rsidRPr="00770E79">
              <w:rPr>
                <w:sz w:val="22"/>
                <w:szCs w:val="22"/>
                <w:lang w:val="en-US"/>
              </w:rPr>
              <w:t>Hryhoruk</w:t>
            </w:r>
            <w:proofErr w:type="spellEnd"/>
            <w:r w:rsidRPr="00770E79">
              <w:rPr>
                <w:sz w:val="22"/>
                <w:szCs w:val="22"/>
                <w:lang w:val="en-US"/>
              </w:rPr>
              <w:t xml:space="preserve">, I. and </w:t>
            </w:r>
            <w:proofErr w:type="spellStart"/>
            <w:r w:rsidRPr="00770E79">
              <w:rPr>
                <w:sz w:val="22"/>
                <w:szCs w:val="22"/>
                <w:lang w:val="en-US"/>
              </w:rPr>
              <w:t>Yavorskyi</w:t>
            </w:r>
            <w:proofErr w:type="spellEnd"/>
            <w:r w:rsidRPr="00770E79">
              <w:rPr>
                <w:sz w:val="22"/>
                <w:szCs w:val="22"/>
                <w:lang w:val="en-US"/>
              </w:rPr>
              <w:t xml:space="preserve">, R., 2018. Impact of advanced research on development of renewable energy policy: case of Ukraine. </w:t>
            </w:r>
            <w:proofErr w:type="spellStart"/>
            <w:r w:rsidRPr="00F83BC8">
              <w:rPr>
                <w:sz w:val="22"/>
                <w:szCs w:val="22"/>
              </w:rPr>
              <w:t>International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Journal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of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Renewable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Energy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Research</w:t>
            </w:r>
            <w:proofErr w:type="spellEnd"/>
            <w:r w:rsidRPr="00F83BC8">
              <w:rPr>
                <w:sz w:val="22"/>
                <w:szCs w:val="22"/>
              </w:rPr>
              <w:t xml:space="preserve"> (IJRER), 8(4), pp.2367-2384.</w:t>
            </w:r>
          </w:p>
          <w:p w14:paraId="7A53E558" w14:textId="702FC375" w:rsidR="00581E26" w:rsidRPr="00F83BC8" w:rsidRDefault="00581E26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F83BC8">
              <w:rPr>
                <w:sz w:val="22"/>
                <w:szCs w:val="22"/>
              </w:rPr>
              <w:t>Nykyruy</w:t>
            </w:r>
            <w:proofErr w:type="spellEnd"/>
            <w:r w:rsidRPr="00F83BC8">
              <w:rPr>
                <w:sz w:val="22"/>
                <w:szCs w:val="22"/>
              </w:rPr>
              <w:t xml:space="preserve"> L., </w:t>
            </w:r>
            <w:proofErr w:type="spellStart"/>
            <w:r w:rsidRPr="00F83BC8">
              <w:rPr>
                <w:sz w:val="22"/>
                <w:szCs w:val="22"/>
              </w:rPr>
              <w:t>Yakubiv</w:t>
            </w:r>
            <w:proofErr w:type="spellEnd"/>
            <w:r w:rsidRPr="00F83BC8">
              <w:rPr>
                <w:sz w:val="22"/>
                <w:szCs w:val="22"/>
              </w:rPr>
              <w:t xml:space="preserve"> V., </w:t>
            </w:r>
            <w:proofErr w:type="spellStart"/>
            <w:r w:rsidRPr="00F83BC8">
              <w:rPr>
                <w:sz w:val="22"/>
                <w:szCs w:val="22"/>
              </w:rPr>
              <w:t>Wisz</w:t>
            </w:r>
            <w:proofErr w:type="spellEnd"/>
            <w:r w:rsidRPr="00F83BC8">
              <w:rPr>
                <w:sz w:val="22"/>
                <w:szCs w:val="22"/>
              </w:rPr>
              <w:t xml:space="preserve"> G., </w:t>
            </w:r>
            <w:proofErr w:type="spellStart"/>
            <w:r w:rsidRPr="00F83BC8">
              <w:rPr>
                <w:sz w:val="22"/>
                <w:szCs w:val="22"/>
              </w:rPr>
              <w:t>Hryhoruk</w:t>
            </w:r>
            <w:proofErr w:type="spellEnd"/>
            <w:r w:rsidRPr="00F83BC8">
              <w:rPr>
                <w:sz w:val="22"/>
                <w:szCs w:val="22"/>
              </w:rPr>
              <w:t xml:space="preserve"> I., </w:t>
            </w:r>
            <w:proofErr w:type="spellStart"/>
            <w:r w:rsidRPr="00F83BC8">
              <w:rPr>
                <w:sz w:val="22"/>
                <w:szCs w:val="22"/>
              </w:rPr>
              <w:t>Zapukhlyak</w:t>
            </w:r>
            <w:proofErr w:type="spellEnd"/>
            <w:r w:rsidRPr="00F83BC8">
              <w:rPr>
                <w:sz w:val="22"/>
                <w:szCs w:val="22"/>
              </w:rPr>
              <w:t xml:space="preserve"> Z., </w:t>
            </w:r>
            <w:proofErr w:type="spellStart"/>
            <w:r w:rsidRPr="00F83BC8">
              <w:rPr>
                <w:sz w:val="22"/>
                <w:szCs w:val="22"/>
              </w:rPr>
              <w:t>Yavorskyi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gramStart"/>
            <w:r w:rsidRPr="00F83BC8">
              <w:rPr>
                <w:sz w:val="22"/>
                <w:szCs w:val="22"/>
              </w:rPr>
              <w:t>R..</w:t>
            </w:r>
            <w:proofErr w:type="gramEnd"/>
            <w:r w:rsidRPr="00F83BC8">
              <w:rPr>
                <w:sz w:val="22"/>
                <w:szCs w:val="22"/>
              </w:rPr>
              <w:t xml:space="preserve"> </w:t>
            </w:r>
            <w:r w:rsidRPr="00770E79">
              <w:rPr>
                <w:sz w:val="22"/>
                <w:szCs w:val="22"/>
                <w:lang w:val="en-US"/>
              </w:rPr>
              <w:t xml:space="preserve">Book title: Renewable Energy - Resources, Challenges and Applications. </w:t>
            </w:r>
            <w:r w:rsidRPr="00F83BC8">
              <w:rPr>
                <w:sz w:val="22"/>
                <w:szCs w:val="22"/>
              </w:rPr>
              <w:t>С</w:t>
            </w:r>
            <w:proofErr w:type="spellStart"/>
            <w:r w:rsidRPr="00770E79">
              <w:rPr>
                <w:sz w:val="22"/>
                <w:szCs w:val="22"/>
                <w:lang w:val="en-US"/>
              </w:rPr>
              <w:t>hapter</w:t>
            </w:r>
            <w:proofErr w:type="spellEnd"/>
            <w:r w:rsidRPr="00770E79">
              <w:rPr>
                <w:sz w:val="22"/>
                <w:szCs w:val="22"/>
                <w:lang w:val="en-US"/>
              </w:rPr>
              <w:t xml:space="preserve"> title: Energy policy at the EU – non-EU border: critical analysis, opportunities and improve for the future. edited by Dr. Mansour Al </w:t>
            </w:r>
            <w:proofErr w:type="spellStart"/>
            <w:r w:rsidRPr="00770E79">
              <w:rPr>
                <w:sz w:val="22"/>
                <w:szCs w:val="22"/>
                <w:lang w:val="en-US"/>
              </w:rPr>
              <w:t>Qubeissi</w:t>
            </w:r>
            <w:proofErr w:type="spellEnd"/>
            <w:r w:rsidRPr="00770E7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InTechOpen</w:t>
            </w:r>
            <w:proofErr w:type="spellEnd"/>
            <w:r w:rsidRPr="00F83BC8">
              <w:rPr>
                <w:sz w:val="22"/>
                <w:szCs w:val="22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London</w:t>
            </w:r>
            <w:proofErr w:type="spellEnd"/>
            <w:r w:rsidRPr="00F83BC8">
              <w:rPr>
                <w:sz w:val="22"/>
                <w:szCs w:val="22"/>
              </w:rPr>
              <w:t xml:space="preserve">. ISBN 978-1-78984-284-5. </w:t>
            </w:r>
            <w:proofErr w:type="gramStart"/>
            <w:r w:rsidRPr="00F83BC8">
              <w:rPr>
                <w:sz w:val="22"/>
                <w:szCs w:val="22"/>
              </w:rPr>
              <w:t>DOI:10.5772</w:t>
            </w:r>
            <w:proofErr w:type="gramEnd"/>
            <w:r w:rsidRPr="00F83BC8">
              <w:rPr>
                <w:sz w:val="22"/>
                <w:szCs w:val="22"/>
              </w:rPr>
              <w:t>/intechopen.91686 (</w:t>
            </w:r>
            <w:proofErr w:type="spellStart"/>
            <w:r w:rsidRPr="00F83BC8">
              <w:rPr>
                <w:sz w:val="22"/>
                <w:szCs w:val="22"/>
              </w:rPr>
              <w:t>Web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of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Science</w:t>
            </w:r>
            <w:proofErr w:type="spellEnd"/>
            <w:r w:rsidRPr="00F83BC8">
              <w:rPr>
                <w:sz w:val="22"/>
                <w:szCs w:val="22"/>
              </w:rPr>
              <w:t>).</w:t>
            </w:r>
          </w:p>
          <w:p w14:paraId="1CECB693" w14:textId="73F88AE8" w:rsidR="0088662A" w:rsidRPr="00F83BC8" w:rsidRDefault="0088662A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83BC8">
              <w:rPr>
                <w:sz w:val="22"/>
                <w:szCs w:val="22"/>
              </w:rPr>
              <w:t xml:space="preserve">Л.І. </w:t>
            </w:r>
            <w:proofErr w:type="spellStart"/>
            <w:r w:rsidRPr="00F83BC8">
              <w:rPr>
                <w:sz w:val="22"/>
                <w:szCs w:val="22"/>
              </w:rPr>
              <w:t>Никируй</w:t>
            </w:r>
            <w:proofErr w:type="spellEnd"/>
            <w:r w:rsidRPr="00F83BC8">
              <w:rPr>
                <w:sz w:val="22"/>
                <w:szCs w:val="22"/>
              </w:rPr>
              <w:t xml:space="preserve">, О.В. </w:t>
            </w:r>
            <w:proofErr w:type="spellStart"/>
            <w:r w:rsidRPr="00F83BC8">
              <w:rPr>
                <w:sz w:val="22"/>
                <w:szCs w:val="22"/>
              </w:rPr>
              <w:t>Замуруєва</w:t>
            </w:r>
            <w:proofErr w:type="spellEnd"/>
            <w:r w:rsidRPr="00F83BC8">
              <w:rPr>
                <w:sz w:val="22"/>
                <w:szCs w:val="22"/>
              </w:rPr>
              <w:t xml:space="preserve">, В.С. Федосов, О.М. </w:t>
            </w:r>
            <w:proofErr w:type="spellStart"/>
            <w:r w:rsidRPr="00F83BC8">
              <w:rPr>
                <w:sz w:val="22"/>
                <w:szCs w:val="22"/>
              </w:rPr>
              <w:t>Бірук</w:t>
            </w:r>
            <w:proofErr w:type="spellEnd"/>
            <w:r w:rsidRPr="00F83BC8">
              <w:rPr>
                <w:sz w:val="22"/>
                <w:szCs w:val="22"/>
              </w:rPr>
              <w:t xml:space="preserve">, С.А. Федосов </w:t>
            </w:r>
            <w:proofErr w:type="spellStart"/>
            <w:r w:rsidRPr="00F83BC8">
              <w:rPr>
                <w:sz w:val="22"/>
                <w:szCs w:val="22"/>
              </w:rPr>
              <w:t>Науково-технічний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прогрес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розвитку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відновлюваної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енергетики</w:t>
            </w:r>
            <w:proofErr w:type="spellEnd"/>
            <w:r w:rsidRPr="00F83BC8">
              <w:rPr>
                <w:sz w:val="22"/>
                <w:szCs w:val="22"/>
              </w:rPr>
              <w:t xml:space="preserve"> в </w:t>
            </w:r>
            <w:proofErr w:type="spellStart"/>
            <w:r w:rsidRPr="00F83BC8">
              <w:rPr>
                <w:sz w:val="22"/>
                <w:szCs w:val="22"/>
              </w:rPr>
              <w:t>Україні</w:t>
            </w:r>
            <w:proofErr w:type="spellEnd"/>
            <w:r w:rsidRPr="00F83BC8">
              <w:rPr>
                <w:sz w:val="22"/>
                <w:szCs w:val="22"/>
              </w:rPr>
              <w:t xml:space="preserve">, </w:t>
            </w:r>
            <w:proofErr w:type="spellStart"/>
            <w:r w:rsidRPr="00F83BC8">
              <w:rPr>
                <w:sz w:val="22"/>
                <w:szCs w:val="22"/>
              </w:rPr>
              <w:t>Міжвузівський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збірник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наукових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праць</w:t>
            </w:r>
            <w:proofErr w:type="spellEnd"/>
            <w:r w:rsidRPr="00F83BC8">
              <w:rPr>
                <w:sz w:val="22"/>
                <w:szCs w:val="22"/>
              </w:rPr>
              <w:t xml:space="preserve"> (за </w:t>
            </w:r>
            <w:proofErr w:type="spellStart"/>
            <w:r w:rsidRPr="00F83BC8">
              <w:rPr>
                <w:sz w:val="22"/>
                <w:szCs w:val="22"/>
              </w:rPr>
              <w:t>галузями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знань</w:t>
            </w:r>
            <w:proofErr w:type="spellEnd"/>
            <w:r w:rsidRPr="00F83BC8">
              <w:rPr>
                <w:sz w:val="22"/>
                <w:szCs w:val="22"/>
              </w:rPr>
              <w:t xml:space="preserve"> «</w:t>
            </w:r>
            <w:proofErr w:type="spellStart"/>
            <w:r w:rsidRPr="00F83BC8">
              <w:rPr>
                <w:sz w:val="22"/>
                <w:szCs w:val="22"/>
              </w:rPr>
              <w:t>Фізико-математичні</w:t>
            </w:r>
            <w:proofErr w:type="spellEnd"/>
            <w:r w:rsidRPr="00F83BC8">
              <w:rPr>
                <w:sz w:val="22"/>
                <w:szCs w:val="22"/>
              </w:rPr>
              <w:t xml:space="preserve"> науки» та «</w:t>
            </w:r>
            <w:proofErr w:type="spellStart"/>
            <w:r w:rsidRPr="00F83BC8">
              <w:rPr>
                <w:sz w:val="22"/>
                <w:szCs w:val="22"/>
              </w:rPr>
              <w:t>Технічні</w:t>
            </w:r>
            <w:proofErr w:type="spellEnd"/>
            <w:r w:rsidRPr="00F83BC8">
              <w:rPr>
                <w:sz w:val="22"/>
                <w:szCs w:val="22"/>
              </w:rPr>
              <w:t xml:space="preserve"> науки»), </w:t>
            </w:r>
            <w:proofErr w:type="spellStart"/>
            <w:r w:rsidRPr="00F83BC8">
              <w:rPr>
                <w:sz w:val="22"/>
                <w:szCs w:val="22"/>
              </w:rPr>
              <w:t>випуск</w:t>
            </w:r>
            <w:proofErr w:type="spellEnd"/>
            <w:r w:rsidRPr="00F83BC8">
              <w:rPr>
                <w:sz w:val="22"/>
                <w:szCs w:val="22"/>
              </w:rPr>
              <w:t xml:space="preserve"> 70, </w:t>
            </w:r>
            <w:proofErr w:type="spellStart"/>
            <w:r w:rsidRPr="00F83BC8">
              <w:rPr>
                <w:sz w:val="22"/>
                <w:szCs w:val="22"/>
              </w:rPr>
              <w:t>сс</w:t>
            </w:r>
            <w:proofErr w:type="spellEnd"/>
            <w:r w:rsidRPr="00F83BC8">
              <w:rPr>
                <w:sz w:val="22"/>
                <w:szCs w:val="22"/>
              </w:rPr>
              <w:t>. 18-26, 2020.</w:t>
            </w:r>
          </w:p>
          <w:p w14:paraId="4B20A07E" w14:textId="51D2E2B0" w:rsidR="0088662A" w:rsidRPr="00F83BC8" w:rsidRDefault="0088662A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F83BC8">
              <w:rPr>
                <w:sz w:val="22"/>
                <w:szCs w:val="22"/>
              </w:rPr>
              <w:lastRenderedPageBreak/>
              <w:t xml:space="preserve">Л.І. </w:t>
            </w:r>
            <w:proofErr w:type="spellStart"/>
            <w:r w:rsidRPr="00F83BC8">
              <w:rPr>
                <w:sz w:val="22"/>
                <w:szCs w:val="22"/>
              </w:rPr>
              <w:t>Никируй</w:t>
            </w:r>
            <w:proofErr w:type="spellEnd"/>
            <w:r w:rsidRPr="00F83BC8">
              <w:rPr>
                <w:sz w:val="22"/>
                <w:szCs w:val="22"/>
              </w:rPr>
              <w:t xml:space="preserve">, С.А. Федосов, Я.П. </w:t>
            </w:r>
            <w:proofErr w:type="spellStart"/>
            <w:r w:rsidRPr="00F83BC8">
              <w:rPr>
                <w:sz w:val="22"/>
                <w:szCs w:val="22"/>
              </w:rPr>
              <w:t>Салій</w:t>
            </w:r>
            <w:proofErr w:type="spellEnd"/>
            <w:r w:rsidRPr="00F83BC8">
              <w:rPr>
                <w:sz w:val="22"/>
                <w:szCs w:val="22"/>
              </w:rPr>
              <w:t xml:space="preserve">, В.В. </w:t>
            </w:r>
            <w:proofErr w:type="spellStart"/>
            <w:r w:rsidRPr="00F83BC8">
              <w:rPr>
                <w:sz w:val="22"/>
                <w:szCs w:val="22"/>
              </w:rPr>
              <w:t>Прокопів</w:t>
            </w:r>
            <w:proofErr w:type="spellEnd"/>
            <w:r w:rsidRPr="00F83BC8">
              <w:rPr>
                <w:sz w:val="22"/>
                <w:szCs w:val="22"/>
              </w:rPr>
              <w:t xml:space="preserve">, О.В. </w:t>
            </w:r>
            <w:proofErr w:type="spellStart"/>
            <w:r w:rsidRPr="00F83BC8">
              <w:rPr>
                <w:sz w:val="22"/>
                <w:szCs w:val="22"/>
              </w:rPr>
              <w:t>Замуруєва</w:t>
            </w:r>
            <w:proofErr w:type="spellEnd"/>
            <w:r w:rsidRPr="00F83BC8">
              <w:rPr>
                <w:sz w:val="22"/>
                <w:szCs w:val="22"/>
              </w:rPr>
              <w:t xml:space="preserve">, Я.С. </w:t>
            </w:r>
            <w:proofErr w:type="spellStart"/>
            <w:r w:rsidRPr="00F83BC8">
              <w:rPr>
                <w:sz w:val="22"/>
                <w:szCs w:val="22"/>
              </w:rPr>
              <w:t>Яворський</w:t>
            </w:r>
            <w:proofErr w:type="spellEnd"/>
            <w:r w:rsidRPr="00F83BC8">
              <w:rPr>
                <w:sz w:val="22"/>
                <w:szCs w:val="22"/>
              </w:rPr>
              <w:t xml:space="preserve">, </w:t>
            </w:r>
            <w:proofErr w:type="spellStart"/>
            <w:r w:rsidRPr="00F83BC8">
              <w:rPr>
                <w:sz w:val="22"/>
                <w:szCs w:val="22"/>
              </w:rPr>
              <w:t>Актуальні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дослідження</w:t>
            </w:r>
            <w:proofErr w:type="spellEnd"/>
            <w:r w:rsidRPr="00F83BC8">
              <w:rPr>
                <w:sz w:val="22"/>
                <w:szCs w:val="22"/>
              </w:rPr>
              <w:t xml:space="preserve"> в </w:t>
            </w:r>
            <w:proofErr w:type="spellStart"/>
            <w:r w:rsidRPr="00F83BC8">
              <w:rPr>
                <w:sz w:val="22"/>
                <w:szCs w:val="22"/>
              </w:rPr>
              <w:t>області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медичної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фізики</w:t>
            </w:r>
            <w:proofErr w:type="spellEnd"/>
            <w:r w:rsidRPr="00F83BC8">
              <w:rPr>
                <w:sz w:val="22"/>
                <w:szCs w:val="22"/>
              </w:rPr>
              <w:t xml:space="preserve">: </w:t>
            </w:r>
            <w:proofErr w:type="spellStart"/>
            <w:r w:rsidRPr="00F83BC8">
              <w:rPr>
                <w:sz w:val="22"/>
                <w:szCs w:val="22"/>
              </w:rPr>
              <w:t>виклики</w:t>
            </w:r>
            <w:proofErr w:type="spellEnd"/>
            <w:r w:rsidRPr="00F83BC8">
              <w:rPr>
                <w:sz w:val="22"/>
                <w:szCs w:val="22"/>
              </w:rPr>
              <w:t xml:space="preserve"> для </w:t>
            </w:r>
            <w:proofErr w:type="spellStart"/>
            <w:r w:rsidRPr="00F83BC8">
              <w:rPr>
                <w:sz w:val="22"/>
                <w:szCs w:val="22"/>
              </w:rPr>
              <w:t>України</w:t>
            </w:r>
            <w:proofErr w:type="spellEnd"/>
            <w:r w:rsidRPr="00F83BC8">
              <w:rPr>
                <w:sz w:val="22"/>
                <w:szCs w:val="22"/>
              </w:rPr>
              <w:t xml:space="preserve">, </w:t>
            </w:r>
            <w:proofErr w:type="spellStart"/>
            <w:r w:rsidRPr="00F83BC8">
              <w:rPr>
                <w:sz w:val="22"/>
                <w:szCs w:val="22"/>
              </w:rPr>
              <w:t>Міжвузівський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збірник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наукових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праць</w:t>
            </w:r>
            <w:proofErr w:type="spellEnd"/>
            <w:r w:rsidRPr="00F83BC8">
              <w:rPr>
                <w:sz w:val="22"/>
                <w:szCs w:val="22"/>
              </w:rPr>
              <w:t xml:space="preserve"> (за </w:t>
            </w:r>
            <w:proofErr w:type="spellStart"/>
            <w:r w:rsidRPr="00F83BC8">
              <w:rPr>
                <w:sz w:val="22"/>
                <w:szCs w:val="22"/>
              </w:rPr>
              <w:t>галузями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знань</w:t>
            </w:r>
            <w:proofErr w:type="spellEnd"/>
            <w:r w:rsidRPr="00F83BC8">
              <w:rPr>
                <w:sz w:val="22"/>
                <w:szCs w:val="22"/>
              </w:rPr>
              <w:t xml:space="preserve"> «</w:t>
            </w:r>
            <w:proofErr w:type="spellStart"/>
            <w:r w:rsidRPr="00F83BC8">
              <w:rPr>
                <w:sz w:val="22"/>
                <w:szCs w:val="22"/>
              </w:rPr>
              <w:t>Фізико-математичні</w:t>
            </w:r>
            <w:proofErr w:type="spellEnd"/>
            <w:r w:rsidRPr="00F83BC8">
              <w:rPr>
                <w:sz w:val="22"/>
                <w:szCs w:val="22"/>
              </w:rPr>
              <w:t xml:space="preserve"> науки» та «</w:t>
            </w:r>
            <w:proofErr w:type="spellStart"/>
            <w:r w:rsidRPr="00F83BC8">
              <w:rPr>
                <w:sz w:val="22"/>
                <w:szCs w:val="22"/>
              </w:rPr>
              <w:t>Технічні</w:t>
            </w:r>
            <w:proofErr w:type="spellEnd"/>
            <w:r w:rsidRPr="00F83BC8">
              <w:rPr>
                <w:sz w:val="22"/>
                <w:szCs w:val="22"/>
              </w:rPr>
              <w:t xml:space="preserve"> науки»), </w:t>
            </w:r>
            <w:proofErr w:type="spellStart"/>
            <w:r w:rsidRPr="00F83BC8">
              <w:rPr>
                <w:sz w:val="22"/>
                <w:szCs w:val="22"/>
              </w:rPr>
              <w:t>випуск</w:t>
            </w:r>
            <w:proofErr w:type="spellEnd"/>
            <w:r w:rsidRPr="00F83BC8">
              <w:rPr>
                <w:sz w:val="22"/>
                <w:szCs w:val="22"/>
              </w:rPr>
              <w:t xml:space="preserve"> 69, </w:t>
            </w:r>
            <w:proofErr w:type="spellStart"/>
            <w:r w:rsidRPr="00F83BC8">
              <w:rPr>
                <w:sz w:val="22"/>
                <w:szCs w:val="22"/>
              </w:rPr>
              <w:t>сс</w:t>
            </w:r>
            <w:proofErr w:type="spellEnd"/>
            <w:r w:rsidRPr="00F83BC8">
              <w:rPr>
                <w:sz w:val="22"/>
                <w:szCs w:val="22"/>
              </w:rPr>
              <w:t>. 82-91, 2020.</w:t>
            </w:r>
          </w:p>
          <w:p w14:paraId="736A4747" w14:textId="51F45865" w:rsidR="0088662A" w:rsidRPr="00F83BC8" w:rsidRDefault="0088662A" w:rsidP="00F83BC8">
            <w:pPr>
              <w:numPr>
                <w:ilvl w:val="0"/>
                <w:numId w:val="9"/>
              </w:num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F83BC8">
              <w:rPr>
                <w:sz w:val="22"/>
                <w:szCs w:val="22"/>
              </w:rPr>
              <w:t>Никируй</w:t>
            </w:r>
            <w:proofErr w:type="spellEnd"/>
            <w:r w:rsidRPr="00F83BC8">
              <w:rPr>
                <w:sz w:val="22"/>
                <w:szCs w:val="22"/>
              </w:rPr>
              <w:t xml:space="preserve"> Л. І., </w:t>
            </w:r>
            <w:proofErr w:type="spellStart"/>
            <w:r w:rsidRPr="00F83BC8">
              <w:rPr>
                <w:sz w:val="22"/>
                <w:szCs w:val="22"/>
              </w:rPr>
              <w:t>Замуруєва</w:t>
            </w:r>
            <w:proofErr w:type="spellEnd"/>
            <w:r w:rsidRPr="00F83BC8">
              <w:rPr>
                <w:sz w:val="22"/>
                <w:szCs w:val="22"/>
              </w:rPr>
              <w:t xml:space="preserve"> О. В., </w:t>
            </w:r>
            <w:proofErr w:type="spellStart"/>
            <w:r w:rsidRPr="00F83BC8">
              <w:rPr>
                <w:sz w:val="22"/>
                <w:szCs w:val="22"/>
              </w:rPr>
              <w:t>Новосад</w:t>
            </w:r>
            <w:proofErr w:type="spellEnd"/>
            <w:r w:rsidRPr="00F83BC8">
              <w:rPr>
                <w:sz w:val="22"/>
                <w:szCs w:val="22"/>
              </w:rPr>
              <w:t>. О. В., Федосов С. А. </w:t>
            </w:r>
            <w:proofErr w:type="spellStart"/>
            <w:r w:rsidRPr="00F83BC8">
              <w:rPr>
                <w:sz w:val="22"/>
                <w:szCs w:val="22"/>
              </w:rPr>
              <w:t>Перспективні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матеріали</w:t>
            </w:r>
            <w:proofErr w:type="spellEnd"/>
            <w:r w:rsidRPr="00F83BC8">
              <w:rPr>
                <w:sz w:val="22"/>
                <w:szCs w:val="22"/>
              </w:rPr>
              <w:t xml:space="preserve"> і </w:t>
            </w:r>
            <w:proofErr w:type="spellStart"/>
            <w:r w:rsidRPr="00F83BC8">
              <w:rPr>
                <w:sz w:val="22"/>
                <w:szCs w:val="22"/>
              </w:rPr>
              <w:t>технології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сонячних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елементів</w:t>
            </w:r>
            <w:proofErr w:type="spellEnd"/>
            <w:r w:rsidRPr="00F83BC8">
              <w:rPr>
                <w:sz w:val="22"/>
                <w:szCs w:val="22"/>
              </w:rPr>
              <w:t xml:space="preserve">. </w:t>
            </w:r>
            <w:proofErr w:type="spellStart"/>
            <w:r w:rsidRPr="00F83BC8">
              <w:rPr>
                <w:sz w:val="22"/>
                <w:szCs w:val="22"/>
              </w:rPr>
              <w:t>Perspective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Technologies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and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Devices</w:t>
            </w:r>
            <w:proofErr w:type="spellEnd"/>
            <w:r w:rsidRPr="00F83BC8">
              <w:rPr>
                <w:sz w:val="22"/>
                <w:szCs w:val="22"/>
              </w:rPr>
              <w:t xml:space="preserve"> – </w:t>
            </w:r>
            <w:proofErr w:type="spellStart"/>
            <w:r w:rsidRPr="00F83BC8">
              <w:rPr>
                <w:sz w:val="22"/>
                <w:szCs w:val="22"/>
              </w:rPr>
              <w:t>Перспективні</w:t>
            </w:r>
            <w:proofErr w:type="spellEnd"/>
            <w:r w:rsidRPr="00F83BC8">
              <w:rPr>
                <w:sz w:val="22"/>
                <w:szCs w:val="22"/>
              </w:rPr>
              <w:t xml:space="preserve"> </w:t>
            </w:r>
            <w:proofErr w:type="spellStart"/>
            <w:r w:rsidRPr="00F83BC8">
              <w:rPr>
                <w:sz w:val="22"/>
                <w:szCs w:val="22"/>
              </w:rPr>
              <w:t>технології</w:t>
            </w:r>
            <w:proofErr w:type="spellEnd"/>
            <w:r w:rsidRPr="00F83BC8">
              <w:rPr>
                <w:sz w:val="22"/>
                <w:szCs w:val="22"/>
              </w:rPr>
              <w:t xml:space="preserve"> та </w:t>
            </w:r>
            <w:proofErr w:type="spellStart"/>
            <w:r w:rsidRPr="00F83BC8">
              <w:rPr>
                <w:sz w:val="22"/>
                <w:szCs w:val="22"/>
              </w:rPr>
              <w:t>прилади</w:t>
            </w:r>
            <w:proofErr w:type="spellEnd"/>
            <w:r w:rsidRPr="00F83BC8">
              <w:rPr>
                <w:sz w:val="22"/>
                <w:szCs w:val="22"/>
              </w:rPr>
              <w:t>. 2020. № 17. С. 175–182</w:t>
            </w:r>
          </w:p>
          <w:p w14:paraId="66AD9D6D" w14:textId="77777777" w:rsidR="00E0619D" w:rsidRPr="00F83BC8" w:rsidRDefault="00E0619D" w:rsidP="00E0619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3BC8">
              <w:rPr>
                <w:sz w:val="22"/>
                <w:szCs w:val="22"/>
              </w:rPr>
              <w:t>Веб-</w:t>
            </w:r>
            <w:proofErr w:type="spellStart"/>
            <w:r w:rsidRPr="00F83BC8">
              <w:rPr>
                <w:sz w:val="22"/>
                <w:szCs w:val="22"/>
              </w:rPr>
              <w:t>ресурси</w:t>
            </w:r>
            <w:proofErr w:type="spellEnd"/>
            <w:r w:rsidRPr="00F83BC8">
              <w:rPr>
                <w:sz w:val="22"/>
                <w:szCs w:val="22"/>
              </w:rPr>
              <w:t>:</w:t>
            </w:r>
          </w:p>
          <w:p w14:paraId="2D7D4926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8" w:history="1">
              <w:r w:rsidR="00E0619D" w:rsidRPr="00F83BC8">
                <w:rPr>
                  <w:rStyle w:val="a8"/>
                  <w:sz w:val="22"/>
                  <w:szCs w:val="22"/>
                </w:rPr>
                <w:t>https://www.researchgate.net/</w:t>
              </w:r>
            </w:hyperlink>
          </w:p>
          <w:p w14:paraId="3A6BF585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9" w:history="1">
              <w:r w:rsidR="00E0619D" w:rsidRPr="00F83BC8">
                <w:rPr>
                  <w:rStyle w:val="a8"/>
                  <w:sz w:val="22"/>
                  <w:szCs w:val="22"/>
                </w:rPr>
                <w:t>https://www.scopus.com/</w:t>
              </w:r>
            </w:hyperlink>
          </w:p>
          <w:p w14:paraId="5AB6CA6E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0" w:history="1">
              <w:r w:rsidR="00E0619D" w:rsidRPr="00F83BC8">
                <w:rPr>
                  <w:rStyle w:val="a8"/>
                  <w:sz w:val="22"/>
                  <w:szCs w:val="22"/>
                </w:rPr>
                <w:t>https://www.mendeley.com/</w:t>
              </w:r>
            </w:hyperlink>
            <w:r w:rsidR="00E0619D" w:rsidRPr="00F83BC8">
              <w:rPr>
                <w:sz w:val="22"/>
                <w:szCs w:val="22"/>
                <w:lang w:val="en-US"/>
              </w:rPr>
              <w:t xml:space="preserve"> </w:t>
            </w:r>
          </w:p>
          <w:p w14:paraId="3180B301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1" w:history="1">
              <w:r w:rsidR="00E0619D" w:rsidRPr="00F83BC8">
                <w:rPr>
                  <w:rStyle w:val="a8"/>
                  <w:sz w:val="22"/>
                  <w:szCs w:val="22"/>
                </w:rPr>
                <w:t>https://mjl.clarivate.com/</w:t>
              </w:r>
            </w:hyperlink>
          </w:p>
          <w:p w14:paraId="31600D6C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2" w:history="1">
              <w:r w:rsidR="00E0619D" w:rsidRPr="00F83BC8">
                <w:rPr>
                  <w:rStyle w:val="a8"/>
                  <w:sz w:val="22"/>
                  <w:szCs w:val="22"/>
                </w:rPr>
                <w:t>https://publons.com/</w:t>
              </w:r>
            </w:hyperlink>
          </w:p>
          <w:p w14:paraId="4CEFBCD4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3" w:history="1">
              <w:r w:rsidR="00E0619D" w:rsidRPr="00F83BC8">
                <w:rPr>
                  <w:rStyle w:val="a8"/>
                  <w:sz w:val="22"/>
                  <w:szCs w:val="22"/>
                </w:rPr>
                <w:t>https://www.crdfglobal.org/</w:t>
              </w:r>
            </w:hyperlink>
          </w:p>
          <w:p w14:paraId="242BEDA1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4" w:history="1">
              <w:r w:rsidR="00E0619D" w:rsidRPr="00F83BC8">
                <w:rPr>
                  <w:rStyle w:val="a8"/>
                  <w:sz w:val="22"/>
                  <w:szCs w:val="22"/>
                </w:rPr>
                <w:t>https://www.</w:t>
              </w:r>
              <w:proofErr w:type="spellStart"/>
              <w:r w:rsidR="00E0619D" w:rsidRPr="00F83BC8">
                <w:rPr>
                  <w:rStyle w:val="a8"/>
                  <w:sz w:val="22"/>
                  <w:szCs w:val="22"/>
                  <w:lang w:val="en-US"/>
                </w:rPr>
                <w:t>stcu</w:t>
              </w:r>
              <w:proofErr w:type="spellEnd"/>
              <w:r w:rsidR="00E0619D" w:rsidRPr="00F83BC8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E0619D" w:rsidRPr="00F83BC8">
                <w:rPr>
                  <w:rStyle w:val="a8"/>
                  <w:sz w:val="22"/>
                  <w:szCs w:val="22"/>
                  <w:lang w:val="en-US"/>
                </w:rPr>
                <w:t>int</w:t>
              </w:r>
              <w:proofErr w:type="spellEnd"/>
              <w:r w:rsidR="00E0619D" w:rsidRPr="00F83BC8">
                <w:rPr>
                  <w:rStyle w:val="a8"/>
                  <w:sz w:val="22"/>
                  <w:szCs w:val="22"/>
                </w:rPr>
                <w:t>/</w:t>
              </w:r>
            </w:hyperlink>
          </w:p>
          <w:p w14:paraId="44480072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5" w:history="1">
              <w:r w:rsidR="00E0619D" w:rsidRPr="00F83BC8">
                <w:rPr>
                  <w:rStyle w:val="a8"/>
                  <w:sz w:val="22"/>
                  <w:szCs w:val="22"/>
                </w:rPr>
                <w:t>https://ec.europa.eu/info/funding-tenders/opportunities/portal</w:t>
              </w:r>
            </w:hyperlink>
          </w:p>
          <w:p w14:paraId="1945EFC8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6" w:history="1">
              <w:r w:rsidR="00E0619D" w:rsidRPr="00F83BC8">
                <w:rPr>
                  <w:rStyle w:val="a8"/>
                  <w:sz w:val="22"/>
                  <w:szCs w:val="22"/>
                </w:rPr>
                <w:t>https://www.nato.int/science/</w:t>
              </w:r>
            </w:hyperlink>
          </w:p>
          <w:p w14:paraId="2B0C8162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7" w:history="1">
              <w:r w:rsidR="00E0619D" w:rsidRPr="00F83BC8">
                <w:rPr>
                  <w:rStyle w:val="a8"/>
                  <w:sz w:val="22"/>
                  <w:szCs w:val="22"/>
                </w:rPr>
                <w:t>http://nfv.ukrintei.ua/</w:t>
              </w:r>
            </w:hyperlink>
          </w:p>
          <w:p w14:paraId="19CC4925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8" w:history="1">
              <w:r w:rsidR="00E0619D" w:rsidRPr="00F83BC8">
                <w:rPr>
                  <w:rStyle w:val="a8"/>
                  <w:sz w:val="22"/>
                  <w:szCs w:val="22"/>
                </w:rPr>
                <w:t>https://scholar.google.com/</w:t>
              </w:r>
            </w:hyperlink>
          </w:p>
          <w:p w14:paraId="4D1EE14A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9" w:history="1">
              <w:r w:rsidR="00E0619D" w:rsidRPr="00F83BC8">
                <w:rPr>
                  <w:rStyle w:val="a8"/>
                  <w:sz w:val="22"/>
                  <w:szCs w:val="22"/>
                </w:rPr>
                <w:t>https://journals.pnu.edu.ua/index.php/index</w:t>
              </w:r>
            </w:hyperlink>
          </w:p>
          <w:p w14:paraId="34B5AD59" w14:textId="77777777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0" w:history="1">
              <w:r w:rsidR="00E0619D" w:rsidRPr="00F83BC8">
                <w:rPr>
                  <w:rStyle w:val="a8"/>
                  <w:sz w:val="22"/>
                  <w:szCs w:val="22"/>
                </w:rPr>
                <w:t>https://members.orcid.org/</w:t>
              </w:r>
            </w:hyperlink>
          </w:p>
          <w:p w14:paraId="38C80487" w14:textId="2F77C174" w:rsidR="00E0619D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1" w:history="1">
              <w:r w:rsidR="00E0619D" w:rsidRPr="00F83BC8">
                <w:rPr>
                  <w:rStyle w:val="a8"/>
                  <w:sz w:val="22"/>
                  <w:szCs w:val="22"/>
                </w:rPr>
                <w:t>https://www.</w:t>
              </w:r>
              <w:proofErr w:type="spellStart"/>
              <w:r w:rsidR="00E0619D" w:rsidRPr="00F83BC8">
                <w:rPr>
                  <w:rStyle w:val="a8"/>
                  <w:sz w:val="22"/>
                  <w:szCs w:val="22"/>
                  <w:lang w:val="en-US"/>
                </w:rPr>
                <w:t>issn</w:t>
              </w:r>
              <w:proofErr w:type="spellEnd"/>
              <w:r w:rsidR="00E0619D" w:rsidRPr="00F83BC8">
                <w:rPr>
                  <w:rStyle w:val="a8"/>
                  <w:sz w:val="22"/>
                  <w:szCs w:val="22"/>
                </w:rPr>
                <w:t>.</w:t>
              </w:r>
              <w:r w:rsidR="00E0619D" w:rsidRPr="00F83BC8">
                <w:rPr>
                  <w:rStyle w:val="a8"/>
                  <w:sz w:val="22"/>
                  <w:szCs w:val="22"/>
                  <w:lang w:val="en-US"/>
                </w:rPr>
                <w:t>org</w:t>
              </w:r>
              <w:r w:rsidR="00E0619D" w:rsidRPr="00F83BC8">
                <w:rPr>
                  <w:rStyle w:val="a8"/>
                  <w:sz w:val="22"/>
                  <w:szCs w:val="22"/>
                </w:rPr>
                <w:t>/</w:t>
              </w:r>
            </w:hyperlink>
            <w:r w:rsidR="00E0619D" w:rsidRPr="00F83BC8">
              <w:rPr>
                <w:sz w:val="22"/>
                <w:szCs w:val="22"/>
                <w:lang w:val="en-US"/>
              </w:rPr>
              <w:t xml:space="preserve"> </w:t>
            </w:r>
          </w:p>
          <w:p w14:paraId="20453CCF" w14:textId="4B1CC685" w:rsidR="00B01035" w:rsidRPr="00F83BC8" w:rsidRDefault="003B269C" w:rsidP="00E0619D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2" w:history="1">
              <w:r w:rsidR="00B01035" w:rsidRPr="00F83BC8">
                <w:rPr>
                  <w:rStyle w:val="a8"/>
                  <w:sz w:val="22"/>
                  <w:szCs w:val="22"/>
                </w:rPr>
                <w:t>https://ncp.pnu.edu.ua/</w:t>
              </w:r>
            </w:hyperlink>
            <w:r w:rsidR="00B01035" w:rsidRPr="00F83BC8">
              <w:rPr>
                <w:sz w:val="22"/>
                <w:szCs w:val="22"/>
                <w:lang w:val="uk-UA"/>
              </w:rPr>
              <w:t xml:space="preserve"> </w:t>
            </w:r>
          </w:p>
          <w:p w14:paraId="6C6276AC" w14:textId="77777777" w:rsidR="004217D3" w:rsidRPr="00F83BC8" w:rsidRDefault="004217D3" w:rsidP="00E0619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0C085CF7" w14:textId="77777777" w:rsidR="00395013" w:rsidRPr="00C67355" w:rsidRDefault="00395013" w:rsidP="00395013">
      <w:pPr>
        <w:jc w:val="both"/>
        <w:rPr>
          <w:lang w:val="uk-UA"/>
        </w:rPr>
      </w:pPr>
    </w:p>
    <w:p w14:paraId="37E3369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2B2F86F" w14:textId="77777777" w:rsidR="00F9137E" w:rsidRDefault="00F9137E" w:rsidP="00395013">
      <w:pPr>
        <w:jc w:val="both"/>
        <w:rPr>
          <w:lang w:val="uk-UA"/>
        </w:rPr>
      </w:pPr>
    </w:p>
    <w:p w14:paraId="46F1742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8027827" w14:textId="77777777"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4217D3">
        <w:rPr>
          <w:b/>
          <w:sz w:val="28"/>
          <w:szCs w:val="28"/>
          <w:lang w:val="uk-UA"/>
        </w:rPr>
        <w:t xml:space="preserve"> </w:t>
      </w:r>
      <w:proofErr w:type="spellStart"/>
      <w:r w:rsidR="004217D3" w:rsidRPr="00053FD9">
        <w:rPr>
          <w:rFonts w:eastAsiaTheme="minorHAnsi"/>
          <w:b/>
          <w:bCs/>
          <w:szCs w:val="28"/>
          <w:lang w:val="uk-UA" w:eastAsia="en-US"/>
        </w:rPr>
        <w:t>Никируй</w:t>
      </w:r>
      <w:proofErr w:type="spellEnd"/>
      <w:r w:rsidR="004217D3" w:rsidRPr="00053FD9">
        <w:rPr>
          <w:rFonts w:eastAsiaTheme="minorHAnsi"/>
          <w:b/>
          <w:bCs/>
          <w:szCs w:val="28"/>
          <w:lang w:val="uk-UA" w:eastAsia="en-US"/>
        </w:rPr>
        <w:t xml:space="preserve"> Л.І.</w:t>
      </w:r>
    </w:p>
    <w:sectPr w:rsidR="00335A19" w:rsidRPr="00784AB3" w:rsidSect="0053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AA64FA"/>
    <w:multiLevelType w:val="hybridMultilevel"/>
    <w:tmpl w:val="C032E0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495A0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36C59"/>
    <w:multiLevelType w:val="hybridMultilevel"/>
    <w:tmpl w:val="ED125A46"/>
    <w:lvl w:ilvl="0" w:tplc="5894A7D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256EB"/>
    <w:multiLevelType w:val="hybridMultilevel"/>
    <w:tmpl w:val="8A5437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ED82E32"/>
    <w:multiLevelType w:val="hybridMultilevel"/>
    <w:tmpl w:val="EEEEC0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1184E"/>
    <w:multiLevelType w:val="hybridMultilevel"/>
    <w:tmpl w:val="1D825B3C"/>
    <w:lvl w:ilvl="0" w:tplc="84F63FD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4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D3D4A70"/>
    <w:multiLevelType w:val="hybridMultilevel"/>
    <w:tmpl w:val="CE4E36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E4BD5"/>
    <w:multiLevelType w:val="hybridMultilevel"/>
    <w:tmpl w:val="D7B0252C"/>
    <w:lvl w:ilvl="0" w:tplc="80303C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052CD4"/>
    <w:multiLevelType w:val="hybridMultilevel"/>
    <w:tmpl w:val="0F36E4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149E6"/>
    <w:rsid w:val="00071F79"/>
    <w:rsid w:val="00072283"/>
    <w:rsid w:val="000C46E3"/>
    <w:rsid w:val="001039A3"/>
    <w:rsid w:val="00151BC4"/>
    <w:rsid w:val="001611B1"/>
    <w:rsid w:val="00166EBE"/>
    <w:rsid w:val="00193CEB"/>
    <w:rsid w:val="00212374"/>
    <w:rsid w:val="00254871"/>
    <w:rsid w:val="002B3D72"/>
    <w:rsid w:val="002C2330"/>
    <w:rsid w:val="00335A19"/>
    <w:rsid w:val="00365B0E"/>
    <w:rsid w:val="00373614"/>
    <w:rsid w:val="00395013"/>
    <w:rsid w:val="00396AAF"/>
    <w:rsid w:val="003B269C"/>
    <w:rsid w:val="004217D3"/>
    <w:rsid w:val="00483A45"/>
    <w:rsid w:val="00491290"/>
    <w:rsid w:val="004F7AFF"/>
    <w:rsid w:val="005321FE"/>
    <w:rsid w:val="00571AE9"/>
    <w:rsid w:val="00581E26"/>
    <w:rsid w:val="005C2DF9"/>
    <w:rsid w:val="006465A0"/>
    <w:rsid w:val="00654CF9"/>
    <w:rsid w:val="006A14B2"/>
    <w:rsid w:val="00760833"/>
    <w:rsid w:val="00770E79"/>
    <w:rsid w:val="00784AB3"/>
    <w:rsid w:val="007F4BE7"/>
    <w:rsid w:val="0084333C"/>
    <w:rsid w:val="0088662A"/>
    <w:rsid w:val="008A1B87"/>
    <w:rsid w:val="008D5B2A"/>
    <w:rsid w:val="008F0477"/>
    <w:rsid w:val="009506C9"/>
    <w:rsid w:val="0095499A"/>
    <w:rsid w:val="00976DD6"/>
    <w:rsid w:val="009A2779"/>
    <w:rsid w:val="00A14445"/>
    <w:rsid w:val="00A402FD"/>
    <w:rsid w:val="00AB324B"/>
    <w:rsid w:val="00AC76DC"/>
    <w:rsid w:val="00AD6DA4"/>
    <w:rsid w:val="00AF6F3B"/>
    <w:rsid w:val="00B01035"/>
    <w:rsid w:val="00B10A22"/>
    <w:rsid w:val="00B2712D"/>
    <w:rsid w:val="00B93336"/>
    <w:rsid w:val="00BC32A7"/>
    <w:rsid w:val="00BE3062"/>
    <w:rsid w:val="00C66222"/>
    <w:rsid w:val="00C67355"/>
    <w:rsid w:val="00C81B4F"/>
    <w:rsid w:val="00CA1BE2"/>
    <w:rsid w:val="00CD0675"/>
    <w:rsid w:val="00CE5CA0"/>
    <w:rsid w:val="00D065D7"/>
    <w:rsid w:val="00D10BDB"/>
    <w:rsid w:val="00D50376"/>
    <w:rsid w:val="00D74B80"/>
    <w:rsid w:val="00E0619D"/>
    <w:rsid w:val="00EC0806"/>
    <w:rsid w:val="00EE1819"/>
    <w:rsid w:val="00EE4289"/>
    <w:rsid w:val="00EE55CA"/>
    <w:rsid w:val="00F27485"/>
    <w:rsid w:val="00F27633"/>
    <w:rsid w:val="00F71319"/>
    <w:rsid w:val="00F83BC8"/>
    <w:rsid w:val="00F9137E"/>
    <w:rsid w:val="00FC0FC6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29D8"/>
  <w15:docId w15:val="{C794A825-A4BE-41DF-9BFD-59B5F6E5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608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1035"/>
    <w:rPr>
      <w:color w:val="605E5C"/>
      <w:shd w:val="clear" w:color="auto" w:fill="E1DFDD"/>
    </w:rPr>
  </w:style>
  <w:style w:type="paragraph" w:customStyle="1" w:styleId="Default">
    <w:name w:val="Default"/>
    <w:rsid w:val="00532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" TargetMode="External"/><Relationship Id="rId13" Type="http://schemas.openxmlformats.org/officeDocument/2006/relationships/hyperlink" Target="https://www.crdfglobal.org/" TargetMode="External"/><Relationship Id="rId18" Type="http://schemas.openxmlformats.org/officeDocument/2006/relationships/hyperlink" Target="https://scholar.googl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ssn.org/" TargetMode="External"/><Relationship Id="rId7" Type="http://schemas.openxmlformats.org/officeDocument/2006/relationships/hyperlink" Target="http://www.d-learn.pu.if.ua" TargetMode="External"/><Relationship Id="rId12" Type="http://schemas.openxmlformats.org/officeDocument/2006/relationships/hyperlink" Target="https://publons.com/" TargetMode="External"/><Relationship Id="rId17" Type="http://schemas.openxmlformats.org/officeDocument/2006/relationships/hyperlink" Target="http://nfv.ukrintei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to.int/science/" TargetMode="External"/><Relationship Id="rId20" Type="http://schemas.openxmlformats.org/officeDocument/2006/relationships/hyperlink" Target="https://members.orcid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yubomyr.nykyruy@pnu.edu.ua" TargetMode="External"/><Relationship Id="rId11" Type="http://schemas.openxmlformats.org/officeDocument/2006/relationships/hyperlink" Target="https://mjl.clarivate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funding-tenders/opportunities/port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ndeley.com/" TargetMode="External"/><Relationship Id="rId19" Type="http://schemas.openxmlformats.org/officeDocument/2006/relationships/hyperlink" Target="https://journals.pnu.edu.ua/index.php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" TargetMode="External"/><Relationship Id="rId14" Type="http://schemas.openxmlformats.org/officeDocument/2006/relationships/hyperlink" Target="https://www.stcu.int/" TargetMode="External"/><Relationship Id="rId22" Type="http://schemas.openxmlformats.org/officeDocument/2006/relationships/hyperlink" Target="https://ncp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668CD-4484-4074-888D-88323E24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2020-10-13T06:35:00Z</cp:lastPrinted>
  <dcterms:created xsi:type="dcterms:W3CDTF">2021-03-31T14:01:00Z</dcterms:created>
  <dcterms:modified xsi:type="dcterms:W3CDTF">2021-04-07T19:39:00Z</dcterms:modified>
</cp:coreProperties>
</file>