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МІНІСТЕРСТВО ОСВІТИ І НАУКИ УКРАЇНИ</w:t>
      </w: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ДВНЗ «ПРИКАРПАТСЬКИЙ НАЦІОНАЛЬНИЙ УНІВЕРСИТЕТ </w:t>
      </w: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ІМЕНІ ВАСИЛЯ СТЕФАНИКА»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Навчально-науковий юридичний інститут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Кафедра конституційного, міжнародного та адміністративного права 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СИЛАБУС НАВЧАЛЬНОЇ ДИСЦИПЛІНИ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ТЕОРІЯ ПРАВОТВОРЧОСТІ 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2A49CE" w:rsidRPr="001566B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sdt>
        <w:sdtPr>
          <w:tag w:val="goog_rdk_0"/>
          <w:id w:val="1485123580"/>
        </w:sdtPr>
        <w:sdtEndPr/>
        <w:sdtContent>
          <w:r w:rsidRPr="001566BE">
            <w:rPr>
              <w:rFonts w:eastAsia="Gungsuh"/>
              <w:color w:val="000000"/>
              <w:sz w:val="28"/>
              <w:szCs w:val="28"/>
            </w:rPr>
            <w:t xml:space="preserve">Рівень вищої освіти − третій (освітньо-науковий) </w:t>
          </w:r>
        </w:sdtContent>
      </w:sdt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Освітньо-наукова програма Право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Спеціальність 081 Право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Галузь знань 08 Право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 на засіданні кафедри</w:t>
      </w: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2 від </w:t>
      </w:r>
      <w:r>
        <w:rPr>
          <w:sz w:val="28"/>
          <w:szCs w:val="28"/>
        </w:rPr>
        <w:t xml:space="preserve">31 </w:t>
      </w:r>
      <w:r>
        <w:rPr>
          <w:color w:val="000000"/>
          <w:sz w:val="28"/>
          <w:szCs w:val="28"/>
        </w:rPr>
        <w:t xml:space="preserve">серпня 2020 р. 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Івано-Франківськ – 2020</w:t>
      </w: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ЗМІСТ</w:t>
      </w: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інформація</w:t>
      </w: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Анотація до навчальної дисципліни</w:t>
      </w: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та цілі навчальної дисципліни</w:t>
      </w: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навчання (компетентності)</w:t>
      </w: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Організація навчання</w:t>
      </w: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оцінювання навчальної дисципліни</w:t>
      </w: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Політика навчальної дисципліни</w:t>
      </w:r>
    </w:p>
    <w:p w:rsidR="002A49CE" w:rsidRDefault="001566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Рекомендована література</w:t>
      </w:r>
    </w:p>
    <w:p w:rsidR="002A49CE" w:rsidRDefault="001566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1. Загальна інформація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Теорія правотворчості 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Книш Віталій Васильович, доктор юридичних наук, професор кафедри конституційного, міжнародного та адміністративного права, доцент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(066) 7993440 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hyperlink r:id="rId6">
              <w:r>
                <w:rPr>
                  <w:color w:val="0000FF"/>
                  <w:u w:val="single"/>
                </w:rPr>
                <w:t>vitaliy.knysh@pnu.edu.ua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Очний/заочний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3 кредити ЄКТС, 90 год.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Посилання на сайт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дистанційного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навчання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hyperlink r:id="rId7">
              <w:r>
                <w:rPr>
                  <w:color w:val="0000FF"/>
                  <w:u w:val="single"/>
                </w:rPr>
                <w:t>http://www.d-learn.pu.if.ua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2A49CE">
        <w:tc>
          <w:tcPr>
            <w:tcW w:w="2547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Консультації проводяться згідно графіку консультацій викладача, що розміщується на інформаційному стенді та сайті кафедри </w:t>
            </w:r>
            <w:hyperlink r:id="rId8">
              <w:r>
                <w:rPr>
                  <w:color w:val="0000FF"/>
                  <w:u w:val="single"/>
                </w:rPr>
                <w:t>https:// kkmap@pu.if.ua//навчальні-дисципліни/</w:t>
              </w:r>
            </w:hyperlink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Консультації щодо індивідуальних науково-дослідних завдань можуть відбуватися </w:t>
            </w:r>
            <w:proofErr w:type="gramStart"/>
            <w:r>
              <w:rPr>
                <w:color w:val="000000"/>
              </w:rPr>
              <w:t>он-лайн</w:t>
            </w:r>
            <w:proofErr w:type="gramEnd"/>
            <w:r>
              <w:rPr>
                <w:color w:val="000000"/>
              </w:rPr>
              <w:t xml:space="preserve"> шлях</w:t>
            </w:r>
            <w:r>
              <w:rPr>
                <w:color w:val="000000"/>
              </w:rPr>
              <w:t>ом використання Cisco Webex Service, Skype, Zoom або листування через Viber, e-mail на вибір здобувача відповідно до його індивідуальних побажань і в час, заздалегідь узгоджений із здобувачем.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2. Анотація до навчальної дисципліни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Предметом</w:t>
            </w:r>
            <w:r>
              <w:rPr>
                <w:color w:val="000000"/>
              </w:rPr>
              <w:t xml:space="preserve"> вивчення навчальної дисципліни є ґенеза та сучасний стан правотворчості як особливого виду юридичної діяльності, а також основні наукові підходи до її удосконалення в сучасних умовах українського державотворення та право творення.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Програма навчальної дис</w:t>
            </w:r>
            <w:r>
              <w:rPr>
                <w:color w:val="000000"/>
              </w:rPr>
              <w:t xml:space="preserve">ципліни включає наступні </w:t>
            </w:r>
            <w:r>
              <w:rPr>
                <w:color w:val="000000"/>
                <w:u w:val="single"/>
              </w:rPr>
              <w:t>змістові модулі</w:t>
            </w:r>
            <w:r>
              <w:rPr>
                <w:color w:val="000000"/>
              </w:rPr>
              <w:t xml:space="preserve">: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Генетичні та сутнісні особливості правотворчості.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2. Функціональні особливості правотворчості.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Теорія правотворчості є напрямом юридичної науки та спеціальною навчальною дисципліною, яка спрямована на оптиміза</w:t>
            </w:r>
            <w:r>
              <w:rPr>
                <w:color w:val="000000"/>
              </w:rPr>
              <w:t>цію правотворчої діяльності, яка, у порівнянні із правореалізаційною, правозастосовчою та правоохоронною діяльністю, є первинною формою юридичної практики та юридичної діяльності, що безпосередньо впливає на їх ефективність.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Крім того, невід’ємною складовою частиною правотворчості, як первинного та особливого виду юридичної діяльності, виступає правотворча техніка, яка є важливим елементом юридичної техніки, з одного боку, та виразником рівня правової культури суб’єкта правотв</w:t>
            </w:r>
            <w:r>
              <w:rPr>
                <w:color w:val="000000"/>
              </w:rPr>
              <w:t xml:space="preserve">орення, з іншого боку.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Отже, потреба у вивченні теорії правотворчості, а також у подальшому науковому дослідженні пов’язаних із нею проблем обумовлюється наступними факторами. По-перше, потребують переосмислення історичні українські традиції правотворчост</w:t>
            </w:r>
            <w:r>
              <w:rPr>
                <w:color w:val="000000"/>
              </w:rPr>
              <w:t xml:space="preserve">і у контексті сучасних потреб правотворення. </w:t>
            </w:r>
            <w:proofErr w:type="gramStart"/>
            <w:r>
              <w:rPr>
                <w:color w:val="000000"/>
              </w:rPr>
              <w:t>По-друге</w:t>
            </w:r>
            <w:proofErr w:type="gramEnd"/>
            <w:r>
              <w:rPr>
                <w:color w:val="000000"/>
              </w:rPr>
              <w:t>, виникає потреба у формуванні нового рівня правової культури сучасних суб’єктів правотворчої діяльності. По-третє, доцільно також звернути увагу на необхідність формування нових наукових підходів, спрям</w:t>
            </w:r>
            <w:r>
              <w:rPr>
                <w:color w:val="000000"/>
              </w:rPr>
              <w:t xml:space="preserve">ованих на удосконалення правотворчості в Україні з урахуванням існуючих сучасних міжнародних та європейських стандартів у цій сфері.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Таким чином, здобувачі третього освітньо-наукового рівня за спеціальністю 081 «Право» у галузі 08 «Право» в процесі викона</w:t>
            </w:r>
            <w:r>
              <w:rPr>
                <w:color w:val="000000"/>
              </w:rPr>
              <w:t xml:space="preserve">ння наукових досліджень, незалежно від спеціалізації та досліджуваної ними сфери правового регулювання, повинні знати ґенезу, а також сучасні сутнісні та функціональні особливості правотворчості у контексті динаміки правовідносин та напрямів удосконалення </w:t>
            </w:r>
            <w:r>
              <w:rPr>
                <w:color w:val="000000"/>
              </w:rPr>
              <w:t xml:space="preserve">правового регулювання. Крім того, невід’ємним елементом зазначеної фахової підготовки є вивчення та критичний аналіз </w:t>
            </w:r>
            <w:r>
              <w:rPr>
                <w:color w:val="000000"/>
              </w:rPr>
              <w:lastRenderedPageBreak/>
              <w:t>існуючих наукових підходів у сфері дослідження проблем правотворчості і правотворчої техніки, а також уміння синтезувати, обґрунтувати та в</w:t>
            </w:r>
            <w:r>
              <w:rPr>
                <w:color w:val="000000"/>
              </w:rPr>
              <w:t xml:space="preserve">провадити власні підходи у цій сфері.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Основними джерелами</w:t>
            </w:r>
            <w:r>
              <w:rPr>
                <w:color w:val="000000"/>
              </w:rPr>
              <w:t xml:space="preserve"> у цій сфері виступають Конституція України, Закон України Про Регламент Верховної Ради України», Закон України «Про статус народного депутата України», Закон України «Про Кабінет Міністрів України»</w:t>
            </w:r>
            <w:r>
              <w:rPr>
                <w:color w:val="000000"/>
              </w:rPr>
              <w:t>, Закон України «Про місцеве самоврядування в Україні», Закон України «Про місцеві державні адміністрації» та інші нормативно-правові акти, включаючи акти Конституційного Суду України та Верховного Суду України, які стосуються тих чи інших правотворчих акт</w:t>
            </w:r>
            <w:r>
              <w:rPr>
                <w:color w:val="000000"/>
              </w:rPr>
              <w:t>ів.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Доцільно також зауважити, що юридичні конструкції, викладені у актах правотворчості, безпосередньо впливають на правове регулювання в цілому та правове становище суб’єктів правовідносин зокрема. Відповідно, підготовка фахівців – докторів філософії за с</w:t>
            </w:r>
            <w:r>
              <w:rPr>
                <w:color w:val="000000"/>
              </w:rPr>
              <w:t xml:space="preserve">пеціальністю 081 «Право» є одним з пріоритетних напрямів та спрямована на підвищення ефективності правотворчості в Україні. </w:t>
            </w:r>
          </w:p>
          <w:p w:rsidR="002A49CE" w:rsidRDefault="002A4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3. Мета та цілі навчальної дисципліни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Метою</w:t>
            </w:r>
            <w:r>
              <w:rPr>
                <w:color w:val="000000"/>
              </w:rPr>
              <w:t xml:space="preserve"> вивчення навчальної дисципліни «Теорія правотворчості» виступає формування у здобувачів освіти розуміння основоположних доктринальних засад сучасного українського правотворення, засвоєння ними методології дослідження з даної проблематики; закріплення у ни</w:t>
            </w:r>
            <w:r>
              <w:rPr>
                <w:color w:val="000000"/>
              </w:rPr>
              <w:t>х відповідних юридичних знань та навиків, спрямованих на вирішення конкретних науково-теоретичних та практично-прикладних  завдань у сфері законодавчої, підзаконної та іншої правотворчості; формування вмінь щодо наукового аналізу існуючих дискусійних теоре</w:t>
            </w:r>
            <w:r>
              <w:rPr>
                <w:color w:val="000000"/>
              </w:rPr>
              <w:t>тичних та прикладних положень у цій сфері, а також здатності до синтезування та обґрунтування власного авторського бачення щодо оптимізації правотворчої діяльності.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Основними цілями</w:t>
            </w:r>
            <w:r>
              <w:rPr>
                <w:color w:val="000000"/>
              </w:rPr>
              <w:t xml:space="preserve"> вивчення дисципліни «Теорія правотворчості» є набуття здобувачами третього</w:t>
            </w:r>
            <w:r>
              <w:rPr>
                <w:color w:val="000000"/>
              </w:rPr>
              <w:t xml:space="preserve"> освітньо-наукового рівня за спеціальністю 081 «Право»  загальних та фахових компетентностей у сфері наукових та прикладних проблем сучасної української правотворчості; оволодіння знаннями у сфері основних загальних і часткових методологічних проблем дослі</w:t>
            </w:r>
            <w:r>
              <w:rPr>
                <w:color w:val="000000"/>
              </w:rPr>
              <w:t xml:space="preserve">дження правотворчої діяльності, актуальних та перспективних тенденцій вдосконалення правового регулювання у сфері правотворчої техніки; формування вмінь щодо аналізу та подальшого наукового узагальнення існуючих наукових здобутків у галузі правотворчості, </w:t>
            </w:r>
            <w:r>
              <w:rPr>
                <w:color w:val="000000"/>
              </w:rPr>
              <w:t xml:space="preserve">формування власних аргументованих положень наукової новизни та висновків у цій сфері, вміння формувати концепцію нормативно-правових актів та складати їх цілісні проекти. 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4. Програмні компетентності та результати навчання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7"/>
              </w:tabs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Загальні компетентності:</w:t>
            </w:r>
          </w:p>
          <w:p w:rsidR="002A49CE" w:rsidRDefault="001566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до абстрактного та критичного мислення </w:t>
            </w:r>
            <w:r>
              <w:t>у процесі наукового аналізу структури та змісту нормативно-правових актів як результату правотворчої діяльності</w:t>
            </w:r>
            <w:r>
              <w:rPr>
                <w:color w:val="000000"/>
              </w:rPr>
              <w:t>;</w:t>
            </w:r>
          </w:p>
          <w:p w:rsidR="002A49CE" w:rsidRDefault="001566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здатність визначення нових перспективних напрямів наукових досліджень </w:t>
            </w:r>
            <w:proofErr w:type="gramStart"/>
            <w:r>
              <w:t>у  сфері</w:t>
            </w:r>
            <w:proofErr w:type="gramEnd"/>
            <w:r>
              <w:t xml:space="preserve"> розвитку правот</w:t>
            </w:r>
            <w:r>
              <w:t>ворчості в Україні</w:t>
            </w:r>
            <w:r>
              <w:rPr>
                <w:color w:val="000000"/>
              </w:rPr>
              <w:t xml:space="preserve">; </w:t>
            </w:r>
          </w:p>
          <w:p w:rsidR="002A49CE" w:rsidRDefault="001566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здатність застосування методології та методики дослідницької роботи для створення нових системо утворюючих знань у сфері правотворчості.</w:t>
            </w:r>
            <w:r>
              <w:rPr>
                <w:color w:val="000000"/>
              </w:rPr>
              <w:t xml:space="preserve"> </w:t>
            </w:r>
          </w:p>
          <w:p w:rsidR="002A49CE" w:rsidRDefault="002A4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7"/>
              </w:tabs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Фахові компетентності:</w:t>
            </w:r>
          </w:p>
          <w:p w:rsidR="002A49CE" w:rsidRDefault="001566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з</w:t>
            </w:r>
            <w:r>
              <w:t xml:space="preserve">датність виконувати оригінальні дослідження, досягати наукових результатів, які створюють нові знання у сфері правотворчості та дотичних до неї міждисциплінарних напрямах і можуть бути опубліковані у провідних наукових виданнях з проблем правотворчості та </w:t>
            </w:r>
            <w:r>
              <w:t>правотворчої техніки.</w:t>
            </w:r>
            <w:r>
              <w:rPr>
                <w:color w:val="000000"/>
              </w:rPr>
              <w:t xml:space="preserve"> </w:t>
            </w:r>
          </w:p>
          <w:p w:rsidR="002A49CE" w:rsidRDefault="001566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здатність використовувати ресурси (в тому числі утворені із використанням інформаційних технологій), необхідні для проведення дослідження у сфері правотворчості;</w:t>
            </w:r>
          </w:p>
          <w:p w:rsidR="002A49CE" w:rsidRDefault="001566B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  <w:tab w:val="left" w:pos="877"/>
                <w:tab w:val="left" w:pos="1440"/>
              </w:tabs>
              <w:spacing w:line="240" w:lineRule="auto"/>
              <w:ind w:left="0" w:hanging="2"/>
              <w:jc w:val="both"/>
            </w:pPr>
            <w:r>
              <w:lastRenderedPageBreak/>
              <w:t>здатність аналізувати методологічні проблеми теорії правотворчості;</w:t>
            </w:r>
          </w:p>
          <w:p w:rsidR="002A49CE" w:rsidRDefault="001566B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  <w:tab w:val="left" w:pos="877"/>
                <w:tab w:val="left" w:pos="1440"/>
              </w:tabs>
              <w:spacing w:line="240" w:lineRule="auto"/>
              <w:ind w:left="0" w:hanging="2"/>
              <w:jc w:val="both"/>
            </w:pPr>
            <w:r>
              <w:t>здатність розробляти проєкти нормативно-правових актів у сфері законодавчої, так і підзаконної правотворчості.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  <w:tab w:val="left" w:pos="877"/>
                <w:tab w:val="left" w:pos="1440"/>
              </w:tabs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Програмні результати навчання:</w:t>
            </w:r>
          </w:p>
          <w:p w:rsidR="002A49CE" w:rsidRDefault="001566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44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формулювати і перевіряти гіпотези у сфері правотворчості;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тощо), наявні літературні дані. </w:t>
            </w:r>
          </w:p>
          <w:p w:rsidR="002A49CE" w:rsidRDefault="001566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440"/>
              </w:tabs>
              <w:spacing w:line="240" w:lineRule="auto"/>
              <w:ind w:left="0" w:hanging="2"/>
              <w:jc w:val="both"/>
            </w:pPr>
            <w:r>
              <w:t>застосову</w:t>
            </w:r>
            <w:r>
              <w:t xml:space="preserve">вати наукові знання термінології, основні закономірності юридичного мислення та пізнання у сфері правотворчості, формулювати поняття і категорії, класифікувати та узагальнювати явища державно-правової дійсності. </w:t>
            </w:r>
          </w:p>
          <w:p w:rsidR="002A49CE" w:rsidRDefault="001566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440"/>
              </w:tabs>
              <w:spacing w:line="240" w:lineRule="auto"/>
              <w:ind w:left="0" w:hanging="2"/>
              <w:jc w:val="both"/>
            </w:pPr>
            <w:r>
              <w:t>розуміти загальні принципи та методи правов</w:t>
            </w:r>
            <w:r>
              <w:t>их наук, а також методологію наукових досліджень у сфері правотворчості, застосовувати їх у власних наукових дослідженнях в юридичній та у викладацькій практиках.</w:t>
            </w:r>
          </w:p>
          <w:p w:rsidR="002A49CE" w:rsidRDefault="001566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440"/>
              </w:tabs>
              <w:spacing w:line="240" w:lineRule="auto"/>
              <w:ind w:left="0" w:hanging="2"/>
              <w:jc w:val="both"/>
            </w:pPr>
            <w:r>
              <w:t>розробляти пропозиції щодо вдосконалення чинного законодавства на основі проведеного дослідже</w:t>
            </w:r>
            <w:r>
              <w:t>ння.</w:t>
            </w:r>
          </w:p>
          <w:p w:rsidR="002A49CE" w:rsidRDefault="002A4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877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5. Організація навчання 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Обсяг навчальної дисципліни</w:t>
            </w:r>
          </w:p>
        </w:tc>
      </w:tr>
      <w:tr w:rsidR="002A49CE">
        <w:tc>
          <w:tcPr>
            <w:tcW w:w="3050" w:type="dxa"/>
            <w:gridSpan w:val="4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Загальна кількість годин</w:t>
            </w:r>
          </w:p>
        </w:tc>
      </w:tr>
      <w:tr w:rsidR="002A49CE">
        <w:tc>
          <w:tcPr>
            <w:tcW w:w="3050" w:type="dxa"/>
            <w:gridSpan w:val="4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  <w:tc>
          <w:tcPr>
            <w:tcW w:w="6295" w:type="dxa"/>
            <w:gridSpan w:val="5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A49CE">
        <w:tc>
          <w:tcPr>
            <w:tcW w:w="3050" w:type="dxa"/>
            <w:gridSpan w:val="4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A49CE">
        <w:tc>
          <w:tcPr>
            <w:tcW w:w="3050" w:type="dxa"/>
            <w:gridSpan w:val="4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Ознаки навчальної дисципліни</w:t>
            </w:r>
          </w:p>
        </w:tc>
      </w:tr>
      <w:tr w:rsidR="002A49CE">
        <w:tc>
          <w:tcPr>
            <w:tcW w:w="1513" w:type="dxa"/>
            <w:vAlign w:val="center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Нормативний /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вибірковий</w:t>
            </w:r>
          </w:p>
        </w:tc>
      </w:tr>
      <w:tr w:rsidR="002A49CE">
        <w:tc>
          <w:tcPr>
            <w:tcW w:w="151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3" w:type="dxa"/>
            <w:gridSpan w:val="4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0" w:type="dxa"/>
            <w:gridSpan w:val="2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нормативний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Тематика навчальної дисципліни</w:t>
            </w:r>
          </w:p>
        </w:tc>
      </w:tr>
      <w:tr w:rsidR="002A49CE">
        <w:tc>
          <w:tcPr>
            <w:tcW w:w="6232" w:type="dxa"/>
            <w:gridSpan w:val="6"/>
            <w:vMerge w:val="restart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кількість год.</w:t>
            </w:r>
          </w:p>
        </w:tc>
      </w:tr>
      <w:tr w:rsidR="002A49CE">
        <w:tc>
          <w:tcPr>
            <w:tcW w:w="6232" w:type="dxa"/>
            <w:gridSpan w:val="6"/>
            <w:vMerge/>
          </w:tcPr>
          <w:p w:rsidR="002A49CE" w:rsidRDefault="002A4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заняття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сам. роб.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Модуль І. 1. Генетичні та сутнісні особливості правотворчості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№ 1. Історичні особливості становлення та розвитку правотворчості (у контексті правових сімей та компаративного дослідження) 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2. Правове регулювання суспільних відносин і правотворча діяльність</w:t>
            </w:r>
            <w:r>
              <w:rPr>
                <w:color w:val="000000"/>
              </w:rPr>
              <w:br/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3. Правотворча діяльність як вид юридичної діяльності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4. Нормативно-правовий акт як основна форма (джерело) права.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5. Правотворча юридична техніка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Модуль ІІ. Функціональні особливості правотворчості 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6. Експертиза нормативно-правових актів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7. Адаптація законодавства України до законодавства Європейського Союзу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8. Особливості законодавчого процесу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Тема № 9. Підзаконна правотворчість: поняття, ознаки, види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Тема № 10. Локальна правотворчість як особливий вид підзаконної правотворчості</w:t>
            </w:r>
            <w:r>
              <w:rPr>
                <w:color w:val="000000"/>
              </w:rPr>
              <w:br/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A49CE" w:rsidRDefault="002A4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A49CE">
        <w:tc>
          <w:tcPr>
            <w:tcW w:w="6232" w:type="dxa"/>
            <w:gridSpan w:val="6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Всього:</w:t>
            </w:r>
          </w:p>
        </w:tc>
        <w:tc>
          <w:tcPr>
            <w:tcW w:w="993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8" w:type="dxa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6. Система оцінювання навчальної дисципліни</w:t>
            </w:r>
          </w:p>
        </w:tc>
      </w:tr>
      <w:tr w:rsidR="002A49CE">
        <w:tc>
          <w:tcPr>
            <w:tcW w:w="1898" w:type="dxa"/>
            <w:gridSpan w:val="2"/>
          </w:tcPr>
          <w:p w:rsidR="002A49CE" w:rsidRDefault="00156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Загальна система оцінювання даної навчальної дисципліни базується на «Положенні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</w:t>
            </w:r>
            <w:r>
              <w:rPr>
                <w:color w:val="000000"/>
              </w:rPr>
              <w:t xml:space="preserve">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9">
              <w:r>
                <w:rPr>
                  <w:color w:val="0000FF"/>
                  <w:u w:val="single"/>
                </w:rPr>
                <w:t>https://nmv.pnu.edu.ua/wp-content/uploads/sites/118/2020/08/polozhennya2020_org_os_proc.pdf</w:t>
              </w:r>
            </w:hyperlink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Максимальна оцінка за результатами вивчення навчальної дисципліни становить 100 балів. Система оцінювання навчальної дисципліни включає в себе кілька компонент: оцінка за виконання екзаменаційної роботи (50 балів); оцінка за семінарські заняття (25 балів);</w:t>
            </w:r>
            <w:r>
              <w:rPr>
                <w:color w:val="000000"/>
              </w:rPr>
              <w:t xml:space="preserve"> оцінка індивідуальної роботи здобувача освіти науково-дослідницького характеру, самостійної роботи (25 балів). </w:t>
            </w:r>
          </w:p>
        </w:tc>
      </w:tr>
      <w:tr w:rsidR="002A49CE">
        <w:tc>
          <w:tcPr>
            <w:tcW w:w="1898" w:type="dxa"/>
            <w:gridSpan w:val="2"/>
          </w:tcPr>
          <w:p w:rsidR="002A49CE" w:rsidRDefault="00156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Вивчення дисципліни передбачає виконання здобувачами освіти індивідуальних письмових робіт науково-дослідницького х</w:t>
            </w:r>
            <w:r>
              <w:rPr>
                <w:color w:val="000000"/>
              </w:rPr>
              <w:t>арактеру та самостійної роботи. Такі роботи можуть бути безпосередньо чи опосередковано пов’язані із тематикою наукового дослідження здобувачів освіти. Формами індивідуальних письмових робіт можуть бути: есе, рецензії на наукові статті, анотація монографіч</w:t>
            </w:r>
            <w:r>
              <w:rPr>
                <w:color w:val="000000"/>
              </w:rPr>
              <w:t>ного дослідження, аналіз чинного законодавства на предмет наукової та прикладної проблематики. Виконання письмових робіт здобувачами освіти повинні відображати їх здатність до аналізу та систематизації існуючих наукових і прикладних напрацювань у межах дис</w:t>
            </w:r>
            <w:r>
              <w:rPr>
                <w:color w:val="000000"/>
              </w:rPr>
              <w:t>ципліни та формування власних висновків дослідницького характеру.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Види письмових робіт</w:t>
            </w:r>
            <w:r>
              <w:rPr>
                <w:color w:val="000000"/>
              </w:rPr>
              <w:t>: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наукова презентація (тематика пов’язана із науковим дослідженням здобувача освіти і визначається спільно викладачем та здобувачем) – максимальна оцінка 5 балів;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есе (тематика пов’язана із науковим дослідженням здобувача освіти і визначається спільно викладачем та здобувачем) – максимальна оцінка 5 балів;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3) рецензія на наукові статті (обсяг рецензії становить 1-2 сторінки, тема статті для рецензування визначає</w:t>
            </w:r>
            <w:r>
              <w:rPr>
                <w:color w:val="000000"/>
              </w:rPr>
              <w:t>ться спільно викладачем та здобувачем) – максимальна оцінка 5 балів</w:t>
            </w:r>
            <w:r>
              <w:t>;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4</w:t>
            </w:r>
            <w:r>
              <w:rPr>
                <w:color w:val="000000"/>
              </w:rPr>
              <w:t>) анотація монографічного дослідження (обсяг анотації становить 1-2 сторінки, обрання монографії здійснюється спільно викладачем та здобувачем) – максимальна оцінка 5 балів</w:t>
            </w:r>
            <w:r>
              <w:t>;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5</w:t>
            </w:r>
            <w:r>
              <w:rPr>
                <w:color w:val="000000"/>
              </w:rPr>
              <w:t xml:space="preserve">) аналіз чинного законодавства на предмет наукової та прикладної проблематики (тематика визначається спільно викладачем та </w:t>
            </w:r>
            <w:proofErr w:type="gramStart"/>
            <w:r>
              <w:rPr>
                <w:color w:val="000000"/>
              </w:rPr>
              <w:t>здобувачем)–</w:t>
            </w:r>
            <w:proofErr w:type="gramEnd"/>
            <w:r>
              <w:rPr>
                <w:color w:val="000000"/>
              </w:rPr>
              <w:t xml:space="preserve"> 5 балів.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Максимальний бал за письмові семестрові роботи становить 25 балів. </w:t>
            </w:r>
          </w:p>
        </w:tc>
      </w:tr>
      <w:tr w:rsidR="002A49CE">
        <w:tc>
          <w:tcPr>
            <w:tcW w:w="1898" w:type="dxa"/>
            <w:gridSpan w:val="2"/>
          </w:tcPr>
          <w:p w:rsidR="002A49CE" w:rsidRDefault="00156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Система оцінювання семінарських занять здійснюється за п’ятибальною шкалою. Максимальна сумарна оцінка за п’ять семінарських занять становить 25 балів.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Опитування здобувачів здійснюється у формі співбесіди, під час якої визначається розуміння здобувачем д</w:t>
            </w:r>
            <w:r>
              <w:rPr>
                <w:color w:val="000000"/>
              </w:rPr>
              <w:t xml:space="preserve">октринальних та прикладних питань теми, уміння аналізувати їх та формувати власну аргументовану належним чином позицію. </w:t>
            </w:r>
          </w:p>
        </w:tc>
      </w:tr>
      <w:tr w:rsidR="002A49CE">
        <w:tc>
          <w:tcPr>
            <w:tcW w:w="1898" w:type="dxa"/>
            <w:gridSpan w:val="2"/>
          </w:tcPr>
          <w:p w:rsidR="002A49CE" w:rsidRDefault="00156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Допуск здобувача освіти до написання екзаменаційної роботи визначається наявністю балів за резу</w:t>
            </w:r>
            <w:r>
              <w:rPr>
                <w:color w:val="000000"/>
              </w:rPr>
              <w:t xml:space="preserve">льтатами виконання ним двох компонент: роботи на семінарських заняттях (за умови відсутності пропусків або наявності їх відпрацювань в індивідуальному порядку) та виконання індивідуальних завдань, самостійної роботи із консультативним супроводом керівника </w:t>
            </w:r>
            <w:r>
              <w:rPr>
                <w:color w:val="000000"/>
              </w:rPr>
              <w:t xml:space="preserve">дисципліни. Кількість балів, яка є умовою допуску здобувача освіти до підсумкового контролю становить 25 балів за результатами як семінарських занять, так і індивідуальної та самостійної роботи. </w:t>
            </w:r>
          </w:p>
        </w:tc>
      </w:tr>
      <w:tr w:rsidR="002A49CE">
        <w:tc>
          <w:tcPr>
            <w:tcW w:w="1898" w:type="dxa"/>
            <w:gridSpan w:val="2"/>
          </w:tcPr>
          <w:p w:rsidR="002A49CE" w:rsidRDefault="00156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Підсумковий контроль – екзамен – проводиться в письмово-усній формі шляхом з’ясування опанування здобувачем загальних та фахових компетентностей. Екзамен охоплює весь обсяг навчальної дисципліни. Екзаменаційний білет передбачає три питання теоретичного хар</w:t>
            </w:r>
            <w:r>
              <w:rPr>
                <w:color w:val="000000"/>
              </w:rPr>
              <w:t xml:space="preserve">актеру та термінологічне завдання. Описові питання оцінюються у 15 балів кожне і термінологічне завдання – у 5 балів. Зміст екзаменаційного білету затверджується на засіданні кафедри конституційного, міжнародного та адміністративного права.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Максимальний б</w:t>
            </w:r>
            <w:r>
              <w:rPr>
                <w:color w:val="000000"/>
              </w:rPr>
              <w:t>ал за екзамен – 50 балів. Отриманий в результаті здачі екзамену бал заноситься у відомість успішності, додається до балів за семінарські заняття, індивідуальну та самостійну роботу і складає підсумковий семестровий бал.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7. Політика навчальної дисципліни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Письмові роботи: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Планується виконання здобувачами освіти індивідуальних письмових робіт науково-дослідницького, форми яких розкриті у попередніх розділах. Усі письмові роботи виконуються у термін, визначений викладачем, але не пізніше дня проведення останн</w:t>
            </w:r>
            <w:r>
              <w:rPr>
                <w:color w:val="000000"/>
              </w:rPr>
              <w:t xml:space="preserve">ього семінарського заняття.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Також планується виконання здобувачами освіти письмової екзаменаційної роботи як форми підсумкового контролю за результатами вивчення дисципліни.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Під час роботи над індивідуальними науково-дослідними завданнями та проєктами не</w:t>
            </w:r>
            <w:r>
              <w:rPr>
                <w:color w:val="000000"/>
              </w:rPr>
              <w:t xml:space="preserve"> допустимо порушення академічної доброчесності.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Академічна доброчесність: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Очікується, що здобувачі освіти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</w:t>
            </w:r>
            <w:r>
              <w:rPr>
                <w:color w:val="000000"/>
              </w:rPr>
              <w:t xml:space="preserve">аника» </w:t>
            </w:r>
            <w:hyperlink r:id="rId10">
              <w:r>
                <w:rPr>
                  <w:color w:val="0000FF"/>
                  <w:u w:val="single"/>
                </w:rPr>
                <w:t>https://pnu.edu.ua/положення-про-запобігання-плагіату/</w:t>
              </w:r>
            </w:hyperlink>
            <w:r>
              <w:rPr>
                <w:color w:val="000000"/>
              </w:rPr>
              <w:t>.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Відвідування занять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Відвідання занять є важливою складовою навчання. Очікується, що всі здобувачі відвідають лекції і практичні заняття навчальної дисципліни.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Пропуски семінарських занять відпрацьову</w:t>
            </w:r>
            <w:r>
              <w:rPr>
                <w:color w:val="000000"/>
              </w:rPr>
              <w:t xml:space="preserve">ються в обов’язковому порядку шляхом виконанням здобувачами освіти індивідуальних завдань, які у письмовій формі надсилаються на електронну пошту викладача.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Більша частина навчального часу спрямована на самостійну роботу здобувача. Практичні завдання по н</w:t>
            </w:r>
            <w:r>
              <w:rPr>
                <w:color w:val="000000"/>
              </w:rPr>
              <w:t xml:space="preserve">авчальній дисципліні обговорюються з аспірантом та корегуються для кожного аспіранта окремо у відповідності до тематики його наукового дослідження. 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8. Рекомендована література</w:t>
            </w:r>
          </w:p>
        </w:tc>
      </w:tr>
      <w:tr w:rsidR="002A49CE">
        <w:tc>
          <w:tcPr>
            <w:tcW w:w="9345" w:type="dxa"/>
            <w:gridSpan w:val="9"/>
          </w:tcPr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Горбунова Л. М. Принцип законності у нормотворчій діяльності органів виконавчої влади: монографія. К.: Юрінком Інтер, 2008. 240 с.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Ковальський В. С, Козінцев І. П. Правотворчість: теоретичні та логічні засади: монографія. К.: Юрінком Інтер, 2005. 183 с. 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ніщенко Н. М. Сприйняття права в умовах демократичного розвитку: проблеми, реаліі, перспективи: монографія. К.: Юридична думка, 2008. 320 с. 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Плавич С. В. Теоретико-методологічні засади </w:t>
            </w:r>
            <w:proofErr w:type="gramStart"/>
            <w:r>
              <w:rPr>
                <w:color w:val="000000"/>
              </w:rPr>
              <w:t>правотворчості :</w:t>
            </w:r>
            <w:proofErr w:type="gramEnd"/>
            <w:r>
              <w:rPr>
                <w:color w:val="000000"/>
              </w:rPr>
              <w:t xml:space="preserve"> дис. канд. юрид. наук: 12.00.01. К., 2009. 201 с. 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Пл</w:t>
            </w:r>
            <w:r>
              <w:rPr>
                <w:color w:val="000000"/>
              </w:rPr>
              <w:t xml:space="preserve">авич В. П., Плавич С. В. Сучасна правотворчість: проблеми теорії і методології: монографія. О.: Астропринт, 2013. 274 c. 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Правоутворення в Україні: теоретико-методологічні та прикладні аспекти: монографія / [за заг. ред. Ю. Л. Бощицького]. Київ: Вид-во Євр</w:t>
            </w:r>
            <w:r>
              <w:rPr>
                <w:color w:val="000000"/>
              </w:rPr>
              <w:t>оп. ун-ту, 2010. 592 с.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Риндюк В. Проблеми законодавчої техніки в Україні: теорія та практика: монографія. </w:t>
            </w:r>
            <w:proofErr w:type="gramStart"/>
            <w:r>
              <w:rPr>
                <w:color w:val="000000"/>
              </w:rPr>
              <w:t>Київ :</w:t>
            </w:r>
            <w:proofErr w:type="gramEnd"/>
            <w:r>
              <w:rPr>
                <w:color w:val="000000"/>
              </w:rPr>
              <w:t xml:space="preserve"> Юридична думка, 2012. 272 с. 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Шаповал В. М. Сучасний конституціоналізм: монографія. К.: Юридична думка, «Салком», Юрінком Інтер, 2005. 560 с.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Ющик О. І. Правова реформа: загальне поняття, проблеми здійснення в Україні: монографія. К.: Ін-т законодавства Верховної Ради України, 1997. 190 с. </w:t>
            </w:r>
          </w:p>
          <w:p w:rsidR="002A49CE" w:rsidRDefault="001566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Ющик О. І. Теоретичні основи законодавчого процесу: монографія. К.: Парлам. вид-во, 2004. 519 c. </w:t>
            </w:r>
          </w:p>
          <w:p w:rsidR="002A49CE" w:rsidRDefault="00156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здобувачу в електронній формі до по</w:t>
            </w:r>
            <w:r>
              <w:rPr>
                <w:color w:val="000000"/>
              </w:rPr>
              <w:t>чатку семестру.</w:t>
            </w:r>
          </w:p>
        </w:tc>
      </w:tr>
    </w:tbl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2A4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A49CE" w:rsidRDefault="001566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Викладач _________________</w:t>
      </w:r>
      <w:r>
        <w:rPr>
          <w:color w:val="000000"/>
          <w:sz w:val="28"/>
          <w:szCs w:val="28"/>
        </w:rPr>
        <w:t xml:space="preserve"> проф. В. В. Книш</w:t>
      </w:r>
    </w:p>
    <w:sectPr w:rsidR="002A49CE">
      <w:pgSz w:w="11906" w:h="16838"/>
      <w:pgMar w:top="1134" w:right="851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222"/>
    <w:multiLevelType w:val="multilevel"/>
    <w:tmpl w:val="11C2C1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A851627"/>
    <w:multiLevelType w:val="multilevel"/>
    <w:tmpl w:val="F53A4190"/>
    <w:lvl w:ilvl="0">
      <w:start w:val="4"/>
      <w:numFmt w:val="bullet"/>
      <w:lvlText w:val="-"/>
      <w:lvlJc w:val="left"/>
      <w:pPr>
        <w:ind w:left="103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57A54EE"/>
    <w:multiLevelType w:val="multilevel"/>
    <w:tmpl w:val="D9E81F9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17D14B8"/>
    <w:multiLevelType w:val="multilevel"/>
    <w:tmpl w:val="FA7858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3AA6A48"/>
    <w:multiLevelType w:val="multilevel"/>
    <w:tmpl w:val="26F6344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4833407"/>
    <w:multiLevelType w:val="multilevel"/>
    <w:tmpl w:val="6F0446A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E"/>
    <w:rsid w:val="001566BE"/>
    <w:rsid w:val="002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F3DF5-E8DA-4B28-A784-C422723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eastAsia="uk-UA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ody Text"/>
    <w:basedOn w:val="a"/>
    <w:pPr>
      <w:spacing w:after="120"/>
    </w:pPr>
  </w:style>
  <w:style w:type="character" w:customStyle="1" w:styleId="a6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a7">
    <w:name w:val="Знак Знак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%20kkmap@pu.if.ua//%D0%BD%D0%B0%D0%B2%D1%87%D0%B0%D0%BB%D1%8C%D0%BD%D1%96-%D0%B4%D0%B8%D1%81%D1%86%D0%B8%D0%BF%D0%BB%D1%96%D0%BD%D0%B8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aliy.knysh@pnu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8/polozhennya2020_org_os_pro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qiOFskMQulvVqGvTkv9ldXnJrg==">AMUW2mV1zz28qx6GsUWtvpDJl1OdvSj9ArJ6f/0I4F/bxdSJVYSt1qhy3SMMDAoh+ctEXYsGvtng8Xh7Ny9URWKSx4Q8iT/OKhwaKIjf2tb3b+k6woijCnGz+PWuFfAz5NYX19W14fktue50V2mrT/Rjwd9pGhKdVbCTpSPf6iS4ZEaIRrHvlP8=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2645</Words>
  <Characters>15083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</dc:creator>
  <cp:lastModifiedBy>user</cp:lastModifiedBy>
  <cp:revision>2</cp:revision>
  <dcterms:created xsi:type="dcterms:W3CDTF">2020-08-25T14:15:00Z</dcterms:created>
  <dcterms:modified xsi:type="dcterms:W3CDTF">2021-04-07T21:24:00Z</dcterms:modified>
</cp:coreProperties>
</file>